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6F" w:rsidRDefault="0067626F" w:rsidP="005A5964">
      <w:pPr>
        <w:jc w:val="center"/>
        <w:rPr>
          <w:b/>
          <w:u w:val="single"/>
        </w:rPr>
      </w:pPr>
      <w:r w:rsidRPr="005A5964">
        <w:rPr>
          <w:b/>
          <w:u w:val="single"/>
        </w:rPr>
        <w:t>Mechanistic Accretion Model Development for Gulf of Mexico</w:t>
      </w:r>
    </w:p>
    <w:p w:rsidR="0067626F" w:rsidRDefault="00EA1DEF" w:rsidP="00801C03">
      <w:r>
        <w:t xml:space="preserve">The </w:t>
      </w:r>
      <w:r w:rsidR="0067626F">
        <w:t>GCPLCC statement of work for this task states:</w:t>
      </w:r>
    </w:p>
    <w:p w:rsidR="0067626F" w:rsidRDefault="0067626F" w:rsidP="0067626F">
      <w:pPr>
        <w:pStyle w:val="Quote"/>
        <w:ind w:left="720" w:right="720"/>
      </w:pPr>
      <w:r>
        <w:t>Depending on the data availability, the preferred accretion model choice is to implement the mechanistic Marsh Equilibrium Model version 3 (MEM3) developed by James Morris of The University of South Carolina. This model requires physical and biological input data such as marsh biomass and suspended sediment concentrations. These data will be collected from the EPA STORET database as well as local entities when available. The resulting model will be verified against the available accretion rates used in previous studies or reported in peer-reviewed literature.  If available data do not support this approach, a second option is to implement simpler empirical functions that describe changes in measured accretion rates with respect to cell elevations and frequencies of inundation.</w:t>
      </w:r>
    </w:p>
    <w:p w:rsidR="005A5964" w:rsidRDefault="005A5964" w:rsidP="005A5964">
      <w:r>
        <w:t>SLAMM accepts accretion rate data for each wetland type modeled. Accretion feedback models are most often applied to saltmarshes (regularly and irregularly-flooded</w:t>
      </w:r>
      <w:r w:rsidR="008C4612">
        <w:t xml:space="preserve">) </w:t>
      </w:r>
      <w:r>
        <w:t>as these are where the majority of accretion data have been collected.</w:t>
      </w:r>
      <w:r w:rsidR="00F33D90">
        <w:t xml:space="preserve"> In this study </w:t>
      </w:r>
      <w:r w:rsidR="008F79A8">
        <w:t xml:space="preserve">new </w:t>
      </w:r>
      <w:r w:rsidR="00F33D90">
        <w:t xml:space="preserve">feedbacks will be </w:t>
      </w:r>
      <w:r w:rsidR="008F79A8">
        <w:t xml:space="preserve">developed </w:t>
      </w:r>
      <w:r w:rsidR="00F33D90">
        <w:t xml:space="preserve">only </w:t>
      </w:r>
      <w:r w:rsidR="008F79A8">
        <w:t>for</w:t>
      </w:r>
      <w:r w:rsidR="00F33D90">
        <w:t xml:space="preserve"> regularly-flooded marsh</w:t>
      </w:r>
      <w:r w:rsidR="0049372D">
        <w:t xml:space="preserve">.  This is due to data availability and also because </w:t>
      </w:r>
      <w:r w:rsidR="0049372D" w:rsidRPr="0049372D">
        <w:t xml:space="preserve">the </w:t>
      </w:r>
      <w:r w:rsidR="0049372D">
        <w:t>impact</w:t>
      </w:r>
      <w:r w:rsidR="0049372D" w:rsidRPr="0049372D">
        <w:t xml:space="preserve"> of inorganic sedimentation</w:t>
      </w:r>
      <w:r w:rsidR="0049372D">
        <w:t xml:space="preserve">, which drives these feedbacks, is significantly less important </w:t>
      </w:r>
      <w:r w:rsidR="0049372D" w:rsidRPr="0049372D">
        <w:t>above the mean higher high water (MHHW) level</w:t>
      </w:r>
      <w:r w:rsidR="00F33D90">
        <w:t>.</w:t>
      </w:r>
    </w:p>
    <w:p w:rsidR="00F33D90" w:rsidRPr="00F33D90" w:rsidRDefault="00F33D90" w:rsidP="00F33D90">
      <w:pPr>
        <w:pStyle w:val="ListParagraph"/>
        <w:ind w:left="0"/>
        <w:rPr>
          <w:b/>
        </w:rPr>
      </w:pPr>
      <w:r w:rsidRPr="004D3415">
        <w:rPr>
          <w:b/>
        </w:rPr>
        <w:t xml:space="preserve">Approach for </w:t>
      </w:r>
      <w:r w:rsidR="00CD04B4">
        <w:rPr>
          <w:b/>
        </w:rPr>
        <w:t>R</w:t>
      </w:r>
      <w:r>
        <w:rPr>
          <w:b/>
        </w:rPr>
        <w:t>egularly-flooded marsh</w:t>
      </w:r>
      <w:r w:rsidRPr="004D3415">
        <w:rPr>
          <w:b/>
        </w:rPr>
        <w:t>:</w:t>
      </w:r>
    </w:p>
    <w:p w:rsidR="0067626F" w:rsidRDefault="0067626F" w:rsidP="0067626F">
      <w:r>
        <w:t xml:space="preserve">The best </w:t>
      </w:r>
      <w:r w:rsidR="00F05A61">
        <w:t xml:space="preserve">types of data </w:t>
      </w:r>
      <w:r w:rsidR="00395BBA">
        <w:t>for an accretion-feedback analysis</w:t>
      </w:r>
      <w:r w:rsidR="00F05A61">
        <w:t xml:space="preserve"> are</w:t>
      </w:r>
      <w:r>
        <w:t xml:space="preserve"> accretion data points with corresponding elevations relative to tide levels.  </w:t>
      </w:r>
      <w:r w:rsidR="00F05A61">
        <w:t>To meet this requirement, a</w:t>
      </w:r>
      <w:r w:rsidR="00EA1DEF">
        <w:t xml:space="preserve"> database of </w:t>
      </w:r>
      <w:r w:rsidR="00B21612">
        <w:t>166</w:t>
      </w:r>
      <w:r w:rsidR="00EA1DEF">
        <w:t xml:space="preserve"> accretion measurements throughout the Gulf of Mexico was derived.  One significant problem </w:t>
      </w:r>
      <w:r w:rsidR="00F05A61">
        <w:t xml:space="preserve">with this database was </w:t>
      </w:r>
      <w:r w:rsidR="00EA1DEF">
        <w:t xml:space="preserve">the assignment of locations to the various accretion studies.  Very few studies report latitude and longitude along with their accretion data and in some cases </w:t>
      </w:r>
      <w:r w:rsidR="00F05A61">
        <w:t xml:space="preserve">no maps </w:t>
      </w:r>
      <w:r w:rsidR="0049372D">
        <w:t>were</w:t>
      </w:r>
      <w:r w:rsidR="00BF0F7D">
        <w:t xml:space="preserve"> included at all</w:t>
      </w:r>
      <w:r w:rsidR="00F05A61">
        <w:t>.  When maps were available, approximate latitude and longitudes were assigned to each accretion study</w:t>
      </w:r>
      <w:r w:rsidR="00A14114">
        <w:t xml:space="preserve"> (</w:t>
      </w:r>
      <w:r w:rsidR="00A14114" w:rsidRPr="00364E36">
        <w:fldChar w:fldCharType="begin"/>
      </w:r>
      <w:r w:rsidR="00A14114" w:rsidRPr="00364E36">
        <w:instrText xml:space="preserve"> REF _Ref389147738 \h </w:instrText>
      </w:r>
      <w:r w:rsidR="00364E36">
        <w:instrText xml:space="preserve"> \* MERGEFORMAT </w:instrText>
      </w:r>
      <w:r w:rsidR="00A14114" w:rsidRPr="00364E36">
        <w:fldChar w:fldCharType="separate"/>
      </w:r>
      <w:r w:rsidR="00A14114" w:rsidRPr="00364E36">
        <w:t xml:space="preserve">Figure </w:t>
      </w:r>
      <w:r w:rsidR="00A14114" w:rsidRPr="00364E36">
        <w:rPr>
          <w:noProof/>
        </w:rPr>
        <w:t>1</w:t>
      </w:r>
      <w:r w:rsidR="00A14114" w:rsidRPr="00364E36">
        <w:fldChar w:fldCharType="end"/>
      </w:r>
      <w:r w:rsidR="00A14114" w:rsidRPr="00364E36">
        <w:t>)</w:t>
      </w:r>
      <w:r w:rsidR="00F05A61" w:rsidRPr="00364E36">
        <w:t>.</w:t>
      </w:r>
      <w:r w:rsidR="005A5964">
        <w:t xml:space="preserve"> </w:t>
      </w:r>
    </w:p>
    <w:p w:rsidR="005A5964" w:rsidRDefault="005A5964" w:rsidP="005A5964">
      <w:r>
        <w:t xml:space="preserve">Elevation data were assigned to accretion data points based on best-available LiDAR data and converted to “mean tide level (MTL) basis” using the NOAA VDATUM product.  In some cases, accretion rates were measured through long-term core data in which case the assumption that the marsh elevation has been in equilibrium with sea-level rise and tide ranges is required for the elevation derived to be relevant to the long-term accretion rate measured.  </w:t>
      </w:r>
      <w:r w:rsidR="00C64A5D">
        <w:t>There is considerable uncertainty in elevations assigned to accretion studies due to</w:t>
      </w:r>
      <w:r w:rsidR="0049372D">
        <w:t xml:space="preserve"> the temporal mismatch</w:t>
      </w:r>
      <w:r w:rsidR="00C64A5D">
        <w:t xml:space="preserve"> </w:t>
      </w:r>
      <w:r w:rsidR="0049372D">
        <w:t xml:space="preserve">discussed above as well as </w:t>
      </w:r>
      <w:r w:rsidR="00C64A5D">
        <w:t>horizontal errors (uncertainty as to the precise location being sampled) and vertical data errors</w:t>
      </w:r>
      <w:r w:rsidR="0049372D">
        <w:t xml:space="preserve"> (LiDAR uncertainty in marshes)</w:t>
      </w:r>
      <w:r w:rsidR="00C64A5D">
        <w:t xml:space="preserve">.  </w:t>
      </w:r>
      <w:r>
        <w:t xml:space="preserve">Whenever possible “elevation change” data were used preferentially </w:t>
      </w:r>
      <w:r w:rsidR="0049372D">
        <w:t xml:space="preserve">to “accretion rate” data </w:t>
      </w:r>
      <w:r>
        <w:t xml:space="preserve">to </w:t>
      </w:r>
      <w:r w:rsidR="0049372D">
        <w:t xml:space="preserve">properly </w:t>
      </w:r>
      <w:r>
        <w:t>account for shallow subsidence effects within the data set.</w:t>
      </w:r>
    </w:p>
    <w:p w:rsidR="005A5964" w:rsidRDefault="005A5964" w:rsidP="005A5964">
      <w:r>
        <w:t>Data from the farthest southeast corner of Louisiana were not included in this dataset as we have already developed and calibrated an accretion feedback model for this location</w:t>
      </w:r>
      <w:r w:rsidR="0049372D">
        <w:t xml:space="preserve">.  Furthermore, </w:t>
      </w:r>
      <w:r>
        <w:t xml:space="preserve">data from the “Bird’s Foot” </w:t>
      </w:r>
      <w:r w:rsidR="0049372D">
        <w:t>were</w:t>
      </w:r>
      <w:r>
        <w:t xml:space="preserve"> not assumed to be relevant to other locations in the Gulf of Mexico.</w:t>
      </w:r>
    </w:p>
    <w:p w:rsidR="00A14114" w:rsidRDefault="00A14114" w:rsidP="00A14114">
      <w:pPr>
        <w:keepNext/>
      </w:pPr>
      <w:r>
        <w:rPr>
          <w:noProof/>
        </w:rPr>
        <w:lastRenderedPageBreak/>
        <w:drawing>
          <wp:anchor distT="0" distB="0" distL="114300" distR="114300" simplePos="0" relativeHeight="251658240" behindDoc="0" locked="0" layoutInCell="1" allowOverlap="1" wp14:anchorId="7DC0DAA1" wp14:editId="6A904F9E">
            <wp:simplePos x="0" y="0"/>
            <wp:positionH relativeFrom="column">
              <wp:posOffset>2415209</wp:posOffset>
            </wp:positionH>
            <wp:positionV relativeFrom="paragraph">
              <wp:posOffset>1582420</wp:posOffset>
            </wp:positionV>
            <wp:extent cx="1569673" cy="665922"/>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157162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4B476D" wp14:editId="0BFFF113">
            <wp:extent cx="5933626" cy="2663687"/>
            <wp:effectExtent l="0" t="0" r="0" b="3810"/>
            <wp:docPr id="2" name="Picture 2" descr="S:\SLAMM\GCPLCC\Deliverable 2\Accretion_Locati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AMM\GCPLCC\Deliverable 2\Accretion_Locations.bmp"/>
                    <pic:cNvPicPr>
                      <a:picLocks noChangeAspect="1" noChangeArrowheads="1"/>
                    </pic:cNvPicPr>
                  </pic:nvPicPr>
                  <pic:blipFill rotWithShape="1">
                    <a:blip r:embed="rId8">
                      <a:extLst>
                        <a:ext uri="{28A0092B-C50C-407E-A947-70E740481C1C}">
                          <a14:useLocalDpi xmlns:a14="http://schemas.microsoft.com/office/drawing/2010/main" val="0"/>
                        </a:ext>
                      </a:extLst>
                    </a:blip>
                    <a:srcRect t="9551" b="15168"/>
                    <a:stretch/>
                  </pic:blipFill>
                  <pic:spPr bwMode="auto">
                    <a:xfrm>
                      <a:off x="0" y="0"/>
                      <a:ext cx="5933440" cy="2663604"/>
                    </a:xfrm>
                    <a:prstGeom prst="rect">
                      <a:avLst/>
                    </a:prstGeom>
                    <a:noFill/>
                    <a:ln>
                      <a:noFill/>
                    </a:ln>
                    <a:extLst>
                      <a:ext uri="{53640926-AAD7-44D8-BBD7-CCE9431645EC}">
                        <a14:shadowObscured xmlns:a14="http://schemas.microsoft.com/office/drawing/2010/main"/>
                      </a:ext>
                    </a:extLst>
                  </pic:spPr>
                </pic:pic>
              </a:graphicData>
            </a:graphic>
          </wp:inline>
        </w:drawing>
      </w:r>
    </w:p>
    <w:p w:rsidR="00A14114" w:rsidRDefault="00A14114" w:rsidP="00A14114">
      <w:pPr>
        <w:pStyle w:val="Caption"/>
      </w:pPr>
      <w:bookmarkStart w:id="0" w:name="_Ref389147738"/>
      <w:r>
        <w:t xml:space="preserve">Figure </w:t>
      </w:r>
      <w:r w:rsidR="009F1013">
        <w:fldChar w:fldCharType="begin"/>
      </w:r>
      <w:r w:rsidR="009F1013">
        <w:instrText xml:space="preserve"> SEQ Figure \* ARABIC </w:instrText>
      </w:r>
      <w:r w:rsidR="009F1013">
        <w:fldChar w:fldCharType="separate"/>
      </w:r>
      <w:r w:rsidR="00F341A9">
        <w:rPr>
          <w:noProof/>
        </w:rPr>
        <w:t>1</w:t>
      </w:r>
      <w:r w:rsidR="009F1013">
        <w:rPr>
          <w:noProof/>
        </w:rPr>
        <w:fldChar w:fldCharType="end"/>
      </w:r>
      <w:bookmarkEnd w:id="0"/>
      <w:r>
        <w:t>. Accretion Locations (yellow stars) in Study Area which could be assigned locations</w:t>
      </w:r>
    </w:p>
    <w:p w:rsidR="00F05A61" w:rsidRDefault="0049372D" w:rsidP="0067626F">
      <w:r>
        <w:br/>
        <w:t xml:space="preserve">One </w:t>
      </w:r>
      <w:r w:rsidR="00F05A61">
        <w:t xml:space="preserve">important parameter for the MEM model is </w:t>
      </w:r>
      <w:r w:rsidR="004D7CE3">
        <w:t xml:space="preserve">the </w:t>
      </w:r>
      <w:r w:rsidR="00F05A61">
        <w:t>average</w:t>
      </w:r>
      <w:r w:rsidR="004D7CE3">
        <w:t xml:space="preserve"> Total Suspended Solids (</w:t>
      </w:r>
      <w:r w:rsidR="00F05A61">
        <w:t>TSS</w:t>
      </w:r>
      <w:r w:rsidR="004D7CE3">
        <w:t>) concentration</w:t>
      </w:r>
      <w:r w:rsidR="00F05A61">
        <w:t xml:space="preserve">.  The EPA STORET database was queried to receive these data and a resulting dataset of </w:t>
      </w:r>
      <w:r w:rsidR="004D7CE3">
        <w:t>117,611</w:t>
      </w:r>
      <w:r w:rsidR="00F05A61">
        <w:t xml:space="preserve"> points was derived and spatially characterized throughout the study area.</w:t>
      </w:r>
    </w:p>
    <w:p w:rsidR="00F05A61" w:rsidRDefault="00F05A61" w:rsidP="0067626F">
      <w:r>
        <w:t>Other required parameters for the MEM model include:</w:t>
      </w:r>
    </w:p>
    <w:p w:rsidR="00F05A61" w:rsidRDefault="00F05A61" w:rsidP="00F05A61">
      <w:pPr>
        <w:pStyle w:val="ListParagraph"/>
        <w:numPr>
          <w:ilvl w:val="0"/>
          <w:numId w:val="2"/>
        </w:numPr>
      </w:pPr>
      <w:r>
        <w:t>Maximum peak biomass for the marsh</w:t>
      </w:r>
    </w:p>
    <w:p w:rsidR="00F05A61" w:rsidRDefault="00F05A61" w:rsidP="00F05A61">
      <w:pPr>
        <w:pStyle w:val="ListParagraph"/>
        <w:numPr>
          <w:ilvl w:val="0"/>
          <w:numId w:val="2"/>
        </w:numPr>
      </w:pPr>
      <w:r>
        <w:t>Upper and lower limits of vegetation</w:t>
      </w:r>
    </w:p>
    <w:p w:rsidR="00F05A61" w:rsidRDefault="00F05A61" w:rsidP="00F05A61">
      <w:pPr>
        <w:pStyle w:val="ListParagraph"/>
        <w:numPr>
          <w:ilvl w:val="0"/>
          <w:numId w:val="2"/>
        </w:numPr>
      </w:pPr>
      <w:r>
        <w:t xml:space="preserve">Organic matter </w:t>
      </w:r>
      <w:r w:rsidR="004D7CE3">
        <w:t>d</w:t>
      </w:r>
      <w:r>
        <w:t xml:space="preserve">ecay </w:t>
      </w:r>
      <w:r w:rsidR="004D7CE3">
        <w:t>r</w:t>
      </w:r>
      <w:r>
        <w:t>ate</w:t>
      </w:r>
    </w:p>
    <w:p w:rsidR="00F05A61" w:rsidRDefault="00F05A61" w:rsidP="00F05A61">
      <w:pPr>
        <w:pStyle w:val="ListParagraph"/>
        <w:numPr>
          <w:ilvl w:val="0"/>
          <w:numId w:val="2"/>
        </w:numPr>
      </w:pPr>
      <w:r>
        <w:t xml:space="preserve">Root &amp; </w:t>
      </w:r>
      <w:r w:rsidR="004D7CE3">
        <w:t>r</w:t>
      </w:r>
      <w:r>
        <w:t xml:space="preserve">hizome to </w:t>
      </w:r>
      <w:r w:rsidR="004D7CE3">
        <w:t>s</w:t>
      </w:r>
      <w:r>
        <w:t xml:space="preserve">hoot </w:t>
      </w:r>
      <w:r w:rsidR="004D7CE3">
        <w:t>r</w:t>
      </w:r>
      <w:r>
        <w:t>atio</w:t>
      </w:r>
    </w:p>
    <w:p w:rsidR="00F05A61" w:rsidRDefault="00F05A61" w:rsidP="00F05A61">
      <w:pPr>
        <w:pStyle w:val="ListParagraph"/>
        <w:numPr>
          <w:ilvl w:val="0"/>
          <w:numId w:val="2"/>
        </w:numPr>
      </w:pPr>
      <w:r>
        <w:t>Below-ground turnover rate</w:t>
      </w:r>
    </w:p>
    <w:p w:rsidR="00F05A61" w:rsidRDefault="00F05A61" w:rsidP="00F05A61">
      <w:pPr>
        <w:pStyle w:val="ListParagraph"/>
        <w:numPr>
          <w:ilvl w:val="0"/>
          <w:numId w:val="2"/>
        </w:numPr>
      </w:pPr>
      <w:r>
        <w:t xml:space="preserve">Refractory </w:t>
      </w:r>
      <w:r w:rsidR="007D1B0E">
        <w:t>f</w:t>
      </w:r>
      <w:r>
        <w:t>raction</w:t>
      </w:r>
      <w:r w:rsidR="007D1B0E">
        <w:t xml:space="preserve"> of belowground production</w:t>
      </w:r>
    </w:p>
    <w:p w:rsidR="00F05A61" w:rsidRDefault="00F05A61" w:rsidP="00F05A61">
      <w:pPr>
        <w:pStyle w:val="ListParagraph"/>
        <w:numPr>
          <w:ilvl w:val="0"/>
          <w:numId w:val="2"/>
        </w:numPr>
      </w:pPr>
      <w:r>
        <w:t xml:space="preserve">Trapping </w:t>
      </w:r>
      <w:r w:rsidR="007D1B0E">
        <w:t>c</w:t>
      </w:r>
      <w:r>
        <w:t>oefficient for the vegetative matter in the marsh</w:t>
      </w:r>
    </w:p>
    <w:p w:rsidR="00F05A61" w:rsidRDefault="00F05A61" w:rsidP="00F05A61">
      <w:pPr>
        <w:pStyle w:val="ListParagraph"/>
        <w:numPr>
          <w:ilvl w:val="0"/>
          <w:numId w:val="2"/>
        </w:numPr>
      </w:pPr>
      <w:r>
        <w:t>Settling rate for inorganic sediments in the marsh</w:t>
      </w:r>
    </w:p>
    <w:p w:rsidR="00F05A61" w:rsidRPr="00DF6FC5" w:rsidRDefault="007D1B0E" w:rsidP="00F05A61">
      <w:r>
        <w:t xml:space="preserve">Measurements for these parameters are </w:t>
      </w:r>
      <w:r w:rsidR="004D7CE3">
        <w:t>rarely</w:t>
      </w:r>
      <w:r>
        <w:t xml:space="preserve"> available and best estimates or professional judgments are required.  Given uncertainty in these parameters</w:t>
      </w:r>
      <w:r w:rsidR="004D7CE3">
        <w:t>,</w:t>
      </w:r>
      <w:r>
        <w:t xml:space="preserve"> the MEM3 model is not tightly constrained unless sufficient calibration data are available to </w:t>
      </w:r>
      <w:r w:rsidR="00C64A5D">
        <w:t>help define the</w:t>
      </w:r>
      <w:r>
        <w:t xml:space="preserve"> model.  Otherwise, with reasonable parametric inputs, maximum accretion rates can vary from </w:t>
      </w:r>
      <w:r w:rsidR="0049372D">
        <w:t>4</w:t>
      </w:r>
      <w:r>
        <w:t xml:space="preserve"> mm/year to 20 mm/year resulting in a fairly wide band of uncertainty for relationships between accretion rates </w:t>
      </w:r>
      <w:r w:rsidRPr="00DF6FC5">
        <w:t>and elevation.</w:t>
      </w:r>
    </w:p>
    <w:p w:rsidR="00EA1DEF" w:rsidRDefault="00EA1DEF" w:rsidP="0067626F">
      <w:r w:rsidRPr="00DF6FC5">
        <w:t xml:space="preserve">The vast majority of </w:t>
      </w:r>
      <w:r w:rsidR="00F05A61" w:rsidRPr="00DF6FC5">
        <w:t xml:space="preserve">data with relevant elevations were located in </w:t>
      </w:r>
      <w:r w:rsidR="00DF6FC5" w:rsidRPr="00DF6FC5">
        <w:t xml:space="preserve">Louisiana </w:t>
      </w:r>
      <w:r w:rsidR="007D1B0E" w:rsidRPr="00DF6FC5">
        <w:t xml:space="preserve">and a MEM3 model was derived for this location.   This model suggests that accretion rates will vary from </w:t>
      </w:r>
      <w:r w:rsidR="00DF6FC5" w:rsidRPr="00DF6FC5">
        <w:t>7.0</w:t>
      </w:r>
      <w:r w:rsidR="007D1B0E" w:rsidRPr="00DF6FC5">
        <w:t xml:space="preserve"> to </w:t>
      </w:r>
      <w:r w:rsidR="00DF6FC5" w:rsidRPr="00DF6FC5">
        <w:t xml:space="preserve">16 mm/yr </w:t>
      </w:r>
      <w:r w:rsidR="007D1B0E" w:rsidRPr="00DF6FC5">
        <w:t>depending on location in the tidal frame</w:t>
      </w:r>
      <w:r w:rsidR="0049372D">
        <w:t>.  A</w:t>
      </w:r>
      <w:r w:rsidR="007D1B0E" w:rsidRPr="00DF6FC5">
        <w:t xml:space="preserve"> graph of this relationship and the data used to derive it is shown in</w:t>
      </w:r>
      <w:r w:rsidR="00364E36" w:rsidRPr="00DF6FC5">
        <w:t xml:space="preserve"> </w:t>
      </w:r>
      <w:r w:rsidR="00364E36" w:rsidRPr="00DF6FC5">
        <w:fldChar w:fldCharType="begin"/>
      </w:r>
      <w:r w:rsidR="00364E36" w:rsidRPr="00DF6FC5">
        <w:instrText xml:space="preserve"> REF _Ref389147812 \h </w:instrText>
      </w:r>
      <w:r w:rsidR="00DF6FC5">
        <w:instrText xml:space="preserve"> \* MERGEFORMAT </w:instrText>
      </w:r>
      <w:r w:rsidR="00364E36" w:rsidRPr="00DF6FC5">
        <w:fldChar w:fldCharType="separate"/>
      </w:r>
      <w:r w:rsidR="00364E36" w:rsidRPr="00DF6FC5">
        <w:t xml:space="preserve">Figure </w:t>
      </w:r>
      <w:r w:rsidR="00364E36" w:rsidRPr="00DF6FC5">
        <w:rPr>
          <w:noProof/>
        </w:rPr>
        <w:t>2</w:t>
      </w:r>
      <w:r w:rsidR="00364E36" w:rsidRPr="00DF6FC5">
        <w:fldChar w:fldCharType="end"/>
      </w:r>
      <w:r w:rsidR="007D1B0E" w:rsidRPr="00DF6FC5">
        <w:t>.</w:t>
      </w:r>
      <w:r w:rsidR="007D1B0E">
        <w:t xml:space="preserve">  </w:t>
      </w:r>
    </w:p>
    <w:p w:rsidR="00364E36" w:rsidRDefault="001F1AC4" w:rsidP="00364E36">
      <w:pPr>
        <w:keepNext/>
      </w:pPr>
      <w:r>
        <w:rPr>
          <w:noProof/>
        </w:rPr>
        <w:lastRenderedPageBreak/>
        <w:drawing>
          <wp:inline distT="0" distB="0" distL="0" distR="0" wp14:anchorId="3CCF13FC" wp14:editId="6F3E856F">
            <wp:extent cx="5943600" cy="4315460"/>
            <wp:effectExtent l="0" t="0" r="1905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1AC4" w:rsidRDefault="00364E36" w:rsidP="00364E36">
      <w:pPr>
        <w:pStyle w:val="Caption"/>
      </w:pPr>
      <w:bookmarkStart w:id="1" w:name="_Ref389147812"/>
      <w:r>
        <w:t xml:space="preserve">Figure </w:t>
      </w:r>
      <w:r w:rsidR="009F1013">
        <w:fldChar w:fldCharType="begin"/>
      </w:r>
      <w:r w:rsidR="009F1013">
        <w:instrText xml:space="preserve"> SEQ Figure \* ARABIC </w:instrText>
      </w:r>
      <w:r w:rsidR="009F1013">
        <w:fldChar w:fldCharType="separate"/>
      </w:r>
      <w:r w:rsidR="00F341A9">
        <w:rPr>
          <w:noProof/>
        </w:rPr>
        <w:t>2</w:t>
      </w:r>
      <w:r w:rsidR="009F1013">
        <w:rPr>
          <w:noProof/>
        </w:rPr>
        <w:fldChar w:fldCharType="end"/>
      </w:r>
      <w:bookmarkEnd w:id="1"/>
      <w:r>
        <w:t>.  Derived MEM3 model with Louisiana-specific</w:t>
      </w:r>
      <w:r w:rsidR="00B350B3">
        <w:t xml:space="preserve"> regularly-flooded marsh</w:t>
      </w:r>
      <w:r>
        <w:t xml:space="preserve"> </w:t>
      </w:r>
      <w:r w:rsidR="00B350B3">
        <w:t>a</w:t>
      </w:r>
      <w:r>
        <w:t xml:space="preserve">ccretion </w:t>
      </w:r>
      <w:r w:rsidR="00B350B3">
        <w:t>d</w:t>
      </w:r>
      <w:r>
        <w:t>ata</w:t>
      </w:r>
    </w:p>
    <w:p w:rsidR="007D1B0E" w:rsidRDefault="00D01653" w:rsidP="0067626F">
      <w:r>
        <w:t xml:space="preserve">Results from the derived model are </w:t>
      </w:r>
      <w:r w:rsidR="007D1B0E">
        <w:t xml:space="preserve">quite similar to the calibrated accretion feedback used in SE Louisiana </w:t>
      </w:r>
      <w:r w:rsidR="007404A2">
        <w:fldChar w:fldCharType="begin"/>
      </w:r>
      <w:r w:rsidR="007404A2">
        <w:instrText xml:space="preserve"> ADDIN ZOTERO_ITEM CSL_CITATION {"citationID":"1gfieesf5l","properties":{"formattedCitation":"(Glick et al. 2013)","plainCitation":"(Glick et al. 2013)"},"citationItems":[{"id":338,"uris":["http://zotero.org/groups/31952/items/9Q4PBF3N"],"uri":["http://zotero.org/groups/31952/items/9Q4PBF3N"],"itemData":{"id":338,"type":"article-journal","title":"Potential Effects of Sea-Level Rise on Coastal Wetlands in Southeastern Louisiana","container-title":"Journal of Coastal Research","collection-title":"Understanding and Predicting Change in the Coastal Ecosystems of the Northern Gulf of Mexico","page":"211–233","volume":"Special Issue No. 63","note":"Glick, P.; Clough, J.; Polaczyk, A.; Couvillion, B., and Nunley, B., 2013. Potential effects of sea-level rise on coastal wetlands\nin southeastern Louisiana. In: Brock, J.C.; Barras, J.A., and Williams, S.J. (eds.), Understanding and Predicting Change in the\nCoastal Ecosystems of the Northern Gulf of Mexico, Journal of Coastal Research, Special Issue No. 63, pp. 211–233, Coconut\nCreek (Florida), ISSN 0749-0208.","author":[{"family":"Glick","given":"P."},{"family":"Clough","given":"J."},{"family":"Polaczyk","given":"A."},{"family":"Couvillion","given":"B."},{"family":"Nunley","given":"B."}],"issued":{"date-parts":[["2013"]]}}}],"schema":"https://github.com/citation-style-language/schema/raw/master/csl-citation.json"} </w:instrText>
      </w:r>
      <w:r w:rsidR="007404A2">
        <w:fldChar w:fldCharType="separate"/>
      </w:r>
      <w:r w:rsidR="007404A2" w:rsidRPr="007404A2">
        <w:rPr>
          <w:rFonts w:ascii="Calibri" w:hAnsi="Calibri"/>
        </w:rPr>
        <w:t>(Glick et al. 2013)</w:t>
      </w:r>
      <w:r w:rsidR="007404A2">
        <w:fldChar w:fldCharType="end"/>
      </w:r>
      <w:r w:rsidR="007404A2">
        <w:t xml:space="preserve"> </w:t>
      </w:r>
      <w:r w:rsidR="007D1B0E">
        <w:t>in which accretion rates varied from 6 to 1</w:t>
      </w:r>
      <w:r w:rsidR="001F1AC4">
        <w:t>6</w:t>
      </w:r>
      <w:r w:rsidR="007D1B0E">
        <w:t xml:space="preserve"> mm/year depending on location in the </w:t>
      </w:r>
      <w:r w:rsidR="001F1AC4">
        <w:t xml:space="preserve">study area and in the </w:t>
      </w:r>
      <w:r w:rsidR="007D1B0E">
        <w:t>tidal frame.</w:t>
      </w:r>
      <w:r>
        <w:t xml:space="preserve">  We propose to apply </w:t>
      </w:r>
      <w:r w:rsidR="00C64A5D">
        <w:t>this newly-derived MEM</w:t>
      </w:r>
      <w:r>
        <w:t xml:space="preserve"> model to regularly-flooded marsh throughout </w:t>
      </w:r>
      <w:r w:rsidR="00C64A5D">
        <w:t xml:space="preserve">new study areas in </w:t>
      </w:r>
      <w:r>
        <w:t>Louisiana which is where the data used to derive the relationship were derived.</w:t>
      </w:r>
      <w:r w:rsidR="00C64A5D">
        <w:t xml:space="preserve">  </w:t>
      </w:r>
    </w:p>
    <w:p w:rsidR="00262D93" w:rsidRDefault="00262D93" w:rsidP="0067626F">
      <w:r>
        <w:t xml:space="preserve">To achieve this Louisiana-specific MEM3 model, </w:t>
      </w:r>
      <w:r w:rsidR="00311921">
        <w:t xml:space="preserve">the biomass range was extended to well above Mean Higher High water which is likely reasonable in this microtidal region.  The organic matter contribution to accretion also was boosted to support relatively high accretion rates that data show occur at 0.5 meters above MTL and </w:t>
      </w:r>
      <w:r w:rsidR="0049372D">
        <w:t>higher</w:t>
      </w:r>
      <w:r w:rsidR="00311921">
        <w:t>.</w:t>
      </w:r>
    </w:p>
    <w:p w:rsidR="001F1AC4" w:rsidRDefault="007D1B0E" w:rsidP="0067626F">
      <w:r>
        <w:t>For other locations in the study area, accretion data with associated locations and elevations were too sparse to constrain a MEM3 model application.  For example, in Florida</w:t>
      </w:r>
      <w:r w:rsidR="00C64A5D">
        <w:t>,</w:t>
      </w:r>
      <w:r>
        <w:t xml:space="preserve"> for regularly-flooded marsh, only </w:t>
      </w:r>
      <w:r w:rsidR="007404A2" w:rsidRPr="00DF6FC5">
        <w:t>five</w:t>
      </w:r>
      <w:r w:rsidRPr="00DF6FC5">
        <w:t xml:space="preserve"> data points were found, </w:t>
      </w:r>
      <w:r w:rsidR="007404A2" w:rsidRPr="00DF6FC5">
        <w:t>all quite</w:t>
      </w:r>
      <w:r w:rsidRPr="00DF6FC5">
        <w:t xml:space="preserve"> high in the tidal frame</w:t>
      </w:r>
      <w:r w:rsidR="00712EA6">
        <w:t xml:space="preserve"> with relatively low accretion rates</w:t>
      </w:r>
      <w:r w:rsidR="001F1AC4" w:rsidRPr="00DF6FC5">
        <w:t xml:space="preserve">.  This dataset, therefore, did </w:t>
      </w:r>
      <w:r w:rsidRPr="00DF6FC5">
        <w:t>not provid</w:t>
      </w:r>
      <w:r w:rsidR="001F1AC4" w:rsidRPr="00DF6FC5">
        <w:t>e</w:t>
      </w:r>
      <w:r w:rsidRPr="00DF6FC5">
        <w:t xml:space="preserve"> any insight into how accretion rates may increase under </w:t>
      </w:r>
      <w:r w:rsidR="001F1AC4" w:rsidRPr="00DF6FC5">
        <w:t>accelerated SLR</w:t>
      </w:r>
      <w:r w:rsidR="00C64A5D">
        <w:t xml:space="preserve"> (when the marshes move lower in the tidal frame)</w:t>
      </w:r>
      <w:r w:rsidR="001F1AC4" w:rsidRPr="00DF6FC5">
        <w:t>.</w:t>
      </w:r>
      <w:r w:rsidR="001F1AC4">
        <w:t xml:space="preserve">  </w:t>
      </w:r>
    </w:p>
    <w:p w:rsidR="0067626F" w:rsidRDefault="001F1AC4" w:rsidP="0067626F">
      <w:r>
        <w:lastRenderedPageBreak/>
        <w:t xml:space="preserve">One approach used in other study areas has been to derive a MEM3 model </w:t>
      </w:r>
      <w:r w:rsidR="00724698">
        <w:t>in</w:t>
      </w:r>
      <w:r>
        <w:t xml:space="preserve"> a data rich area and then move this calibration into another location, varying only the TSS and tide range.  We choose </w:t>
      </w:r>
      <w:r w:rsidR="007404A2">
        <w:t xml:space="preserve">not </w:t>
      </w:r>
      <w:r>
        <w:t>to apply the calibrated MEM3 model shown above to regions outside of Louisiana, as Louisiana has often been considered to be fairly unique in terms of marsh characteristics</w:t>
      </w:r>
      <w:r w:rsidR="00712EA6">
        <w:t xml:space="preserve">.  This is based on </w:t>
      </w:r>
      <w:r>
        <w:t>differences in organic matter content, suspended sediment supply, and the presence of floating marshes.  For this reason it does not seem appropriate to derive a model with Louisiana-specific data and then apply this model throughout the Gulf of Mexico.</w:t>
      </w:r>
    </w:p>
    <w:p w:rsidR="001F1AC4" w:rsidRDefault="001F1AC4" w:rsidP="0067626F">
      <w:r>
        <w:t>Based on these considerations, we propose an approach</w:t>
      </w:r>
      <w:r w:rsidR="00D01653">
        <w:t xml:space="preserve"> that takes into account measured accretion data, spatial variability in TSS data, and professional judgments to define a set of curves describing the relationship between accretion rates and marsh elevations.  A “generic” accretion-to-elevation curve has been derived with the MEM3 model</w:t>
      </w:r>
      <w:r w:rsidR="00724698">
        <w:t xml:space="preserve"> (</w:t>
      </w:r>
      <w:r w:rsidR="00724698">
        <w:fldChar w:fldCharType="begin"/>
      </w:r>
      <w:r w:rsidR="00724698">
        <w:instrText xml:space="preserve"> REF _Ref389231722 \h </w:instrText>
      </w:r>
      <w:r w:rsidR="00724698">
        <w:fldChar w:fldCharType="separate"/>
      </w:r>
      <w:r w:rsidR="00724698">
        <w:t xml:space="preserve">Figure </w:t>
      </w:r>
      <w:r w:rsidR="00724698">
        <w:rPr>
          <w:noProof/>
        </w:rPr>
        <w:t>3</w:t>
      </w:r>
      <w:r w:rsidR="00724698">
        <w:fldChar w:fldCharType="end"/>
      </w:r>
      <w:r w:rsidR="00724698">
        <w:t>)</w:t>
      </w:r>
      <w:r w:rsidR="00D01653">
        <w:t xml:space="preserve">, and then minimum and maximum accretion rates </w:t>
      </w:r>
      <w:r w:rsidR="00724698">
        <w:t xml:space="preserve">can then be </w:t>
      </w:r>
      <w:r w:rsidR="00D01653">
        <w:t xml:space="preserve">modified on the basis of local conditions.  </w:t>
      </w:r>
    </w:p>
    <w:p w:rsidR="007D1B0E" w:rsidRDefault="00262D93" w:rsidP="0067626F">
      <w:r>
        <w:t>The following accretion regions have been defined</w:t>
      </w:r>
      <w:r w:rsidR="002F64C7">
        <w:t xml:space="preserve"> based on TSS</w:t>
      </w:r>
      <w:r w:rsidR="00FC041D">
        <w:t>:</w:t>
      </w:r>
    </w:p>
    <w:p w:rsidR="00262D93" w:rsidRPr="00FC041D" w:rsidRDefault="00262D93" w:rsidP="00262D93">
      <w:pPr>
        <w:pStyle w:val="ListParagraph"/>
        <w:numPr>
          <w:ilvl w:val="0"/>
          <w:numId w:val="3"/>
        </w:numPr>
      </w:pPr>
      <w:r>
        <w:t xml:space="preserve">Southern Florida </w:t>
      </w:r>
      <w:r w:rsidR="00E82D7A">
        <w:t xml:space="preserve">(South of Big Bend study area)  - </w:t>
      </w:r>
      <w:r>
        <w:t xml:space="preserve"> </w:t>
      </w:r>
      <w:r w:rsidR="002F64C7">
        <w:t>M</w:t>
      </w:r>
      <w:r>
        <w:t xml:space="preserve">ean </w:t>
      </w:r>
      <w:r w:rsidRPr="00FC041D">
        <w:t xml:space="preserve">TSS of </w:t>
      </w:r>
      <w:r w:rsidR="00DF73A5">
        <w:t>8</w:t>
      </w:r>
      <w:r w:rsidR="00724698" w:rsidRPr="00FC041D">
        <w:t xml:space="preserve"> mg/L</w:t>
      </w:r>
    </w:p>
    <w:p w:rsidR="00262D93" w:rsidRDefault="00E82D7A" w:rsidP="00FC041D">
      <w:pPr>
        <w:pStyle w:val="ListParagraph"/>
        <w:numPr>
          <w:ilvl w:val="0"/>
          <w:numId w:val="3"/>
        </w:numPr>
      </w:pPr>
      <w:r>
        <w:t xml:space="preserve">Northern Florida (Big Bend of Florida north) - </w:t>
      </w:r>
      <w:r w:rsidR="00262D93">
        <w:t xml:space="preserve"> </w:t>
      </w:r>
      <w:r w:rsidR="002F64C7">
        <w:t>M</w:t>
      </w:r>
      <w:r w:rsidR="00262D93">
        <w:t xml:space="preserve">ean TSS of </w:t>
      </w:r>
      <w:r w:rsidR="00DF73A5">
        <w:t>10</w:t>
      </w:r>
      <w:r w:rsidR="00FC041D">
        <w:t xml:space="preserve"> </w:t>
      </w:r>
      <w:r w:rsidR="00FC041D" w:rsidRPr="00FC041D">
        <w:t>mg/L</w:t>
      </w:r>
    </w:p>
    <w:p w:rsidR="00262D93" w:rsidRPr="00FC041D" w:rsidRDefault="00262D93" w:rsidP="00FC041D">
      <w:pPr>
        <w:pStyle w:val="ListParagraph"/>
        <w:numPr>
          <w:ilvl w:val="0"/>
          <w:numId w:val="3"/>
        </w:numPr>
      </w:pPr>
      <w:r w:rsidRPr="00FC041D">
        <w:t>Alabama, excluding Mobile Bay</w:t>
      </w:r>
      <w:r w:rsidR="00E82D7A">
        <w:t xml:space="preserve"> </w:t>
      </w:r>
      <w:r w:rsidRPr="00FC041D">
        <w:t xml:space="preserve"> </w:t>
      </w:r>
      <w:r w:rsidR="00E82D7A">
        <w:t xml:space="preserve">- </w:t>
      </w:r>
      <w:r w:rsidRPr="00FC041D">
        <w:t xml:space="preserve"> </w:t>
      </w:r>
      <w:r w:rsidR="00FC041D">
        <w:t>M</w:t>
      </w:r>
      <w:r w:rsidRPr="00FC041D">
        <w:t xml:space="preserve">ean TSS of </w:t>
      </w:r>
      <w:r w:rsidR="00DF73A5">
        <w:t>11</w:t>
      </w:r>
      <w:r w:rsidR="00FC041D">
        <w:t xml:space="preserve"> </w:t>
      </w:r>
      <w:r w:rsidR="00FC041D" w:rsidRPr="00FC041D">
        <w:t>mg/L</w:t>
      </w:r>
    </w:p>
    <w:p w:rsidR="00262D93" w:rsidRPr="00FC041D" w:rsidRDefault="00262D93" w:rsidP="00262D93">
      <w:pPr>
        <w:pStyle w:val="ListParagraph"/>
        <w:numPr>
          <w:ilvl w:val="0"/>
          <w:numId w:val="3"/>
        </w:numPr>
      </w:pPr>
      <w:r w:rsidRPr="00FC041D">
        <w:t>Mobile Bay</w:t>
      </w:r>
      <w:r w:rsidR="00E82D7A">
        <w:t xml:space="preserve"> </w:t>
      </w:r>
      <w:r w:rsidRPr="00FC041D">
        <w:t xml:space="preserve"> </w:t>
      </w:r>
      <w:r w:rsidR="00E82D7A">
        <w:t>-</w:t>
      </w:r>
      <w:r w:rsidRPr="00FC041D">
        <w:t xml:space="preserve"> Higher TSS (</w:t>
      </w:r>
      <w:r w:rsidR="00DF73A5">
        <w:t>16</w:t>
      </w:r>
      <w:r w:rsidR="00FC041D" w:rsidRPr="00FC041D">
        <w:t xml:space="preserve"> mg/L</w:t>
      </w:r>
      <w:r w:rsidRPr="00FC041D">
        <w:t>) and site-specific accretion data</w:t>
      </w:r>
    </w:p>
    <w:p w:rsidR="007E2E71" w:rsidRPr="00FC041D" w:rsidRDefault="007E2E71" w:rsidP="00262D93">
      <w:pPr>
        <w:pStyle w:val="ListParagraph"/>
        <w:numPr>
          <w:ilvl w:val="0"/>
          <w:numId w:val="3"/>
        </w:numPr>
      </w:pPr>
      <w:r w:rsidRPr="00FC041D">
        <w:t>M</w:t>
      </w:r>
      <w:r w:rsidR="005C2F23" w:rsidRPr="00FC041D">
        <w:t xml:space="preserve">ississippi </w:t>
      </w:r>
      <w:r w:rsidR="002F64C7">
        <w:t xml:space="preserve"> - </w:t>
      </w:r>
      <w:r w:rsidR="00FC041D">
        <w:t>M</w:t>
      </w:r>
      <w:r w:rsidRPr="00FC041D">
        <w:t xml:space="preserve">ean TSS of </w:t>
      </w:r>
      <w:r w:rsidR="00DF73A5">
        <w:t>34</w:t>
      </w:r>
      <w:r w:rsidR="00FC041D" w:rsidRPr="00FC041D">
        <w:t xml:space="preserve"> mg/L</w:t>
      </w:r>
    </w:p>
    <w:p w:rsidR="00262D93" w:rsidRDefault="00262D93" w:rsidP="00262D93">
      <w:pPr>
        <w:pStyle w:val="ListParagraph"/>
        <w:numPr>
          <w:ilvl w:val="0"/>
          <w:numId w:val="3"/>
        </w:numPr>
      </w:pPr>
      <w:r>
        <w:t xml:space="preserve">Louisiana </w:t>
      </w:r>
      <w:r w:rsidR="00E82D7A">
        <w:t>-</w:t>
      </w:r>
      <w:r>
        <w:t xml:space="preserve"> Calibrated accretion feedback in existing study areas and MEM model in non-modeled locations</w:t>
      </w:r>
      <w:r w:rsidR="005C2F23">
        <w:t xml:space="preserve"> (Chenier Plain)</w:t>
      </w:r>
      <w:r w:rsidR="007931CF">
        <w:t xml:space="preserve">, TSS set to </w:t>
      </w:r>
      <w:r w:rsidR="00DF73A5">
        <w:t>26</w:t>
      </w:r>
      <w:r w:rsidR="00FC041D">
        <w:t xml:space="preserve"> mg/L</w:t>
      </w:r>
    </w:p>
    <w:p w:rsidR="00262D93" w:rsidRDefault="00262D93" w:rsidP="00262D93">
      <w:pPr>
        <w:pStyle w:val="ListParagraph"/>
        <w:numPr>
          <w:ilvl w:val="0"/>
          <w:numId w:val="3"/>
        </w:numPr>
      </w:pPr>
      <w:r>
        <w:t xml:space="preserve">Northern Texas </w:t>
      </w:r>
      <w:r w:rsidR="00FC041D">
        <w:t>(</w:t>
      </w:r>
      <w:r>
        <w:t>to Freeport</w:t>
      </w:r>
      <w:r w:rsidR="00FC041D">
        <w:t>)</w:t>
      </w:r>
      <w:r w:rsidR="00E82D7A">
        <w:t xml:space="preserve"> - </w:t>
      </w:r>
      <w:r>
        <w:t xml:space="preserve"> Calibrated accretion feedbacks in existing study areas and </w:t>
      </w:r>
      <w:r w:rsidR="005C2F23" w:rsidRPr="00FC041D">
        <w:t>MEM3</w:t>
      </w:r>
      <w:r w:rsidRPr="00FC041D">
        <w:t xml:space="preserve"> for Jefferson County</w:t>
      </w:r>
      <w:r w:rsidR="007E2E71">
        <w:t>, mean TSS of 3</w:t>
      </w:r>
      <w:r w:rsidR="00DF73A5">
        <w:t>0</w:t>
      </w:r>
    </w:p>
    <w:p w:rsidR="00262D93" w:rsidRDefault="00FC041D" w:rsidP="00262D93">
      <w:pPr>
        <w:pStyle w:val="ListParagraph"/>
        <w:numPr>
          <w:ilvl w:val="0"/>
          <w:numId w:val="3"/>
        </w:numPr>
      </w:pPr>
      <w:r>
        <w:t xml:space="preserve">Freeport, </w:t>
      </w:r>
      <w:r w:rsidR="00262D93">
        <w:t xml:space="preserve">Texas South </w:t>
      </w:r>
      <w:r w:rsidR="005C2F23">
        <w:t xml:space="preserve">to </w:t>
      </w:r>
      <w:r>
        <w:t>Mexican border</w:t>
      </w:r>
      <w:r w:rsidR="005C2F23">
        <w:t xml:space="preserve"> </w:t>
      </w:r>
      <w:r w:rsidR="00E82D7A">
        <w:t>-</w:t>
      </w:r>
      <w:r w:rsidR="007E2E71">
        <w:t xml:space="preserve"> mean TSS of </w:t>
      </w:r>
      <w:r w:rsidR="00DF73A5">
        <w:t>36</w:t>
      </w:r>
    </w:p>
    <w:p w:rsidR="00724698" w:rsidRDefault="00724698" w:rsidP="00262D93">
      <w:r>
        <w:t xml:space="preserve">TSS data </w:t>
      </w:r>
      <w:r w:rsidR="002F64C7">
        <w:t>present</w:t>
      </w:r>
      <w:r>
        <w:t xml:space="preserve">ed above </w:t>
      </w:r>
      <w:r w:rsidR="00B75448">
        <w:t xml:space="preserve">were derived first by querying individual data points </w:t>
      </w:r>
      <w:r>
        <w:t>from EPA STORET and then assign</w:t>
      </w:r>
      <w:r w:rsidR="00B75448">
        <w:t xml:space="preserve">ing these points </w:t>
      </w:r>
      <w:r>
        <w:t xml:space="preserve">to each </w:t>
      </w:r>
      <w:r w:rsidR="00B75448">
        <w:t xml:space="preserve">defined </w:t>
      </w:r>
      <w:r>
        <w:t>study area (</w:t>
      </w:r>
      <w:r>
        <w:fldChar w:fldCharType="begin"/>
      </w:r>
      <w:r>
        <w:instrText xml:space="preserve"> REF _Ref389147738 \h </w:instrText>
      </w:r>
      <w:r>
        <w:fldChar w:fldCharType="separate"/>
      </w:r>
      <w:r>
        <w:t xml:space="preserve">Figure </w:t>
      </w:r>
      <w:r>
        <w:rPr>
          <w:noProof/>
        </w:rPr>
        <w:t>1</w:t>
      </w:r>
      <w:r>
        <w:fldChar w:fldCharType="end"/>
      </w:r>
      <w:r>
        <w:t>).  The top and bottom 2.5% of TSS data were discarded to remove the effects of significant outliers on central tendencies (to remove the effects of unique events that do not reflect the average TSS</w:t>
      </w:r>
      <w:r w:rsidR="00B75448">
        <w:t xml:space="preserve"> conditions affecting marshes).</w:t>
      </w:r>
      <w:r>
        <w:t xml:space="preserve">  </w:t>
      </w:r>
      <w:r w:rsidR="00FC041D">
        <w:t>S</w:t>
      </w:r>
      <w:r>
        <w:t xml:space="preserve">tudy areas were </w:t>
      </w:r>
      <w:r w:rsidR="00B75448">
        <w:t xml:space="preserve">combined and </w:t>
      </w:r>
      <w:r>
        <w:t xml:space="preserve">averaged to </w:t>
      </w:r>
      <w:r w:rsidR="00FC041D">
        <w:t>obtain</w:t>
      </w:r>
      <w:r>
        <w:t xml:space="preserve"> a spatially weighted average TSS for each region.  These data </w:t>
      </w:r>
      <w:r w:rsidR="00B75448">
        <w:t xml:space="preserve">have been </w:t>
      </w:r>
      <w:r>
        <w:t>qualitatively considered, as part of the weight of evidence approach in determining reasonable accretion-feedback curves for each region.</w:t>
      </w:r>
    </w:p>
    <w:p w:rsidR="002F64C7" w:rsidRDefault="00712EA6" w:rsidP="00262D93">
      <w:r>
        <w:t>For the southern portion of Florida, a</w:t>
      </w:r>
      <w:r w:rsidR="002F64C7">
        <w:t>nalysis of the accretion database created for this project indicates a minimum accretion rate of 0.8 mm/year and maximum measured accretion rates of 4.9 mm/year</w:t>
      </w:r>
      <w:r w:rsidR="0076726E">
        <w:t>.  This is consistent with regularly-flooded marsh accretion rates applied in Florida given previous SLAMM applications.  It is also consistent with observations of TSS that are lowest among the accretion regions defined above.  As increased SLR has not started to drown regularly-flooded marshes in this portion of the study area yet</w:t>
      </w:r>
      <w:r>
        <w:t xml:space="preserve"> (at least in areas that we have accretion data)</w:t>
      </w:r>
      <w:r w:rsidR="0076726E">
        <w:t>, the upper bound accretion rate is uncertain.  However, based on TSS availability it is safe to presume that it should be less than the 16 mm/year measured in Louisiana.  Constraining the maximum accretion rate to the maximum accretion rate measured in the region seems like a reasonable conjecture.  In the future, the uncertainty in the model based on this conjecture can be measured with a SLAMM uncertainty analysis.  In addition, as will be the case for most study areas, additional observed data regarding marsh accretion rates at elevation (marsh organ studies), marsh biomass densities , and inorganic sediment settling rates can improve the accuracy of future SLR simulations.</w:t>
      </w:r>
      <w:r w:rsidR="00A14114">
        <w:t xml:space="preserve">  </w:t>
      </w:r>
      <w:r w:rsidR="004D5756">
        <w:t xml:space="preserve">  </w:t>
      </w:r>
      <w:r>
        <w:t>To summarize for S. Florida salt marshes we propose modeling with accretion feedbacks and minimum accretion rates of 0.8 mm/year and maximums of 4.9 mm/year.</w:t>
      </w:r>
    </w:p>
    <w:p w:rsidR="0076726E" w:rsidRDefault="00A14114" w:rsidP="00262D93">
      <w:r>
        <w:t>Other accretion-region models are proposed below</w:t>
      </w:r>
    </w:p>
    <w:p w:rsidR="007D1B0E" w:rsidRDefault="0076726E" w:rsidP="0064740E">
      <w:pPr>
        <w:pStyle w:val="ListParagraph"/>
        <w:numPr>
          <w:ilvl w:val="0"/>
          <w:numId w:val="4"/>
        </w:numPr>
      </w:pPr>
      <w:r>
        <w:t xml:space="preserve">For Northern Florida, TSS concentrations increase </w:t>
      </w:r>
      <w:r w:rsidR="00A14114">
        <w:t xml:space="preserve">relative to S. Florida </w:t>
      </w:r>
      <w:r>
        <w:t>as do maximum accretion rates observed.  For this reason a similar relationship between accretion rates and elevations is assumed, but with the maximum accretion rate being set to 7.</w:t>
      </w:r>
      <w:r w:rsidR="00106997">
        <w:t>6</w:t>
      </w:r>
      <w:r>
        <w:t xml:space="preserve"> mm/year</w:t>
      </w:r>
      <w:r w:rsidR="00B326DE">
        <w:t xml:space="preserve"> (maximum observed in the study area, measured by Leonard et al 1995</w:t>
      </w:r>
      <w:r w:rsidR="0064740E">
        <w:t>) and</w:t>
      </w:r>
      <w:r w:rsidR="007E2E71">
        <w:t xml:space="preserve"> </w:t>
      </w:r>
      <w:r w:rsidR="00A14114" w:rsidRPr="007E2E71">
        <w:t>minimum accretion</w:t>
      </w:r>
      <w:r w:rsidR="007E2E71">
        <w:t xml:space="preserve"> rate set to </w:t>
      </w:r>
      <w:r w:rsidR="00B326DE">
        <w:t>0</w:t>
      </w:r>
      <w:r w:rsidR="007E2E71">
        <w:t>.8 mm/yr</w:t>
      </w:r>
      <w:r w:rsidR="0064740E">
        <w:t xml:space="preserve"> (</w:t>
      </w:r>
      <w:r w:rsidR="0064740E" w:rsidRPr="0064740E">
        <w:t>Cahoon et al</w:t>
      </w:r>
      <w:r w:rsidR="0064740E">
        <w:t>. 1995 and Hendrickson 1997, net elevation change)</w:t>
      </w:r>
      <w:r w:rsidR="007E2E71">
        <w:t xml:space="preserve">. </w:t>
      </w:r>
      <w:r w:rsidR="004D5756">
        <w:t xml:space="preserve"> </w:t>
      </w:r>
      <w:r w:rsidR="007E2E71">
        <w:t>Florida is the only portion of the study area with a useful database of elevation change data, measured by SET tables maintained</w:t>
      </w:r>
      <w:r w:rsidR="0064740E">
        <w:t xml:space="preserve"> by the Florida Geologic Survey. These </w:t>
      </w:r>
      <w:r w:rsidR="007E2E71">
        <w:t>data w</w:t>
      </w:r>
      <w:r w:rsidR="0064740E">
        <w:t>ere</w:t>
      </w:r>
      <w:r w:rsidR="007E2E71">
        <w:t xml:space="preserve"> provided to WPC in 2011 by Joe Donoghue in support of the Saint Andrew’s Choctawhatche</w:t>
      </w:r>
      <w:r w:rsidR="0064740E">
        <w:t>e modeling effort funded by TNC</w:t>
      </w:r>
      <w:r w:rsidR="007E2E71">
        <w:t>.</w:t>
      </w:r>
      <w:r w:rsidR="003D7C47">
        <w:t xml:space="preserve"> </w:t>
      </w:r>
      <w:r w:rsidR="008545A9">
        <w:t xml:space="preserve"> These rates cover the same range as previously applied to other SLAMM applications in this region (0.8 mm/yr in Apalachicola to 7.2 mm/yr in Southern Big Bend)</w:t>
      </w:r>
    </w:p>
    <w:p w:rsidR="0076726E" w:rsidRDefault="0076726E" w:rsidP="00A14114">
      <w:pPr>
        <w:pStyle w:val="ListParagraph"/>
        <w:numPr>
          <w:ilvl w:val="0"/>
          <w:numId w:val="4"/>
        </w:numPr>
      </w:pPr>
      <w:r>
        <w:t>For Alabama, excluding Mobile Bay, a maximum accretion rate is set to 6.8 mm/year based on somewhat lower TSS than Northern Florida and the accretion data of Callaway</w:t>
      </w:r>
      <w:r w:rsidR="00FC5A07">
        <w:t xml:space="preserve"> </w:t>
      </w:r>
      <w:r w:rsidR="00FC5A07">
        <w:fldChar w:fldCharType="begin"/>
      </w:r>
      <w:r w:rsidR="00FC5A07">
        <w:instrText xml:space="preserve"> ADDIN ZOTERO_ITEM CSL_CITATION {"citationID":"1qn3s9ieue","properties":{"formattedCitation":"(1997)","plainCitation":"(1997)"},"citationItems":[{"id":160,"uris":["http://zotero.org/groups/31952/items/78ME82T5"],"uri":["http://zotero.org/groups/31952/items/78ME82T5"],"itemData":{"id":160,"type":"article-journal","title":"Sediment Accretion Rates from Four Coastal Wetlands along the Gulf of Mexico","container-title":"Journal of Coastal Research","page":"181-191","volume":"13","issue":"1","source":"JSTOR","abstract":"Our study of sediment accretion rates from four low tidal-range sites along the Gulf of Mexico does not support previous hypotheses concerning the relationship between tidal range and vertical accretion rates. The addition of our data to an earlier data set decreased the correlation between these variables, and all but one of our low-tidal range sites had positive accretion rates, contradicting previous studies which have predicted that low tidal-range sites would have negative net accretion rates. Additionally, in transects across the marsh, accretion rates decreased from low- to high- marsh stations; however, this appeared to be caused by changes in rates of organic matter accumulation, not mineral matter accumulation, as has been proposed in previous studies. Vertical accretion rates were more strongly correlated with organic matter accumulation rates than mineral matter accumulation rates, confirming previous studies which indicated the important role of sediment organic matter in determining sediment structure. These results do not imply that mineral matter is unimportant in maintaining the elevation of the marsh; mineral matter input affects organic matter production and sediment bulk density. There was little correlation between mineral and organic matter accumulation rates, with average organic matter accumulation rates for each site having little variation compared to the variation in mineral matter accumulation rates. This result supports a previous hypothesis that there may be a limit to annual rates of organic matter accumulation. Finally, the study indicates that the negative net accretion rates documented in Louisiana are not typical of other Gulf coast wetlands.","ISSN":"07490208","note":"ArticleType: research-article / Full publication date: Winter, 1997 / Copyright © 1997 Coastal Education &amp; Research Foundation, Inc.","author":[{"family":"Callaway","given":"J. C."},{"family":"DeLaune","given":"R. D."},{"family":"Patrick, Jr.","given":"W. H."}],"issued":{"date-parts":[["1997"]],"season":"Winter"},"accessed":{"date-parts":[["2010",11,3]]}},"suppress-author":true}],"schema":"https://github.com/citation-style-language/schema/raw/master/csl-citation.json"} </w:instrText>
      </w:r>
      <w:r w:rsidR="00FC5A07">
        <w:fldChar w:fldCharType="separate"/>
      </w:r>
      <w:r w:rsidR="00FC5A07" w:rsidRPr="00FC5A07">
        <w:rPr>
          <w:rFonts w:ascii="Calibri" w:hAnsi="Calibri"/>
        </w:rPr>
        <w:t>(1997)</w:t>
      </w:r>
      <w:r w:rsidR="00FC5A07">
        <w:fldChar w:fldCharType="end"/>
      </w:r>
      <w:r>
        <w:t>.</w:t>
      </w:r>
      <w:r w:rsidR="00A14114">
        <w:t xml:space="preserve"> </w:t>
      </w:r>
      <w:r w:rsidR="008545A9">
        <w:t>This value was applied without feedbacks to previous SLAMM applications in Mississippi.</w:t>
      </w:r>
    </w:p>
    <w:p w:rsidR="0076726E" w:rsidRDefault="0076726E" w:rsidP="00A14114">
      <w:pPr>
        <w:pStyle w:val="ListParagraph"/>
        <w:numPr>
          <w:ilvl w:val="0"/>
          <w:numId w:val="4"/>
        </w:numPr>
      </w:pPr>
      <w:r>
        <w:t>For Mobile Bay Alabama, the</w:t>
      </w:r>
      <w:r w:rsidR="007931CF">
        <w:t xml:space="preserve"> minimum accretion rate is set to 0.9 mm/yr and the</w:t>
      </w:r>
      <w:r>
        <w:t xml:space="preserve"> maximum accretion rate to 11 mm/year </w:t>
      </w:r>
      <w:r w:rsidR="00712EA6">
        <w:t xml:space="preserve">(Smith and coworkers, </w:t>
      </w:r>
      <w:r w:rsidR="00712EA6">
        <w:fldChar w:fldCharType="begin"/>
      </w:r>
      <w:r w:rsidR="00712EA6">
        <w:instrText xml:space="preserve"> ADDIN ZOTERO_ITEM CSL_CITATION {"citationID":"qmdh3ua83","properties":{"formattedCitation":"(2013)","plainCitation":"(2013)"},"citationItems":[{"id":699,"uris":["http://zotero.org/groups/31952/items/Q3RKQR5K"],"uri":["http://zotero.org/groups/31952/items/Q3RKQR5K"],"itemData":{"id":699,"type":"article-journal","title":"An Examination of Historical Inorganic Sedimentation and Organic Matter Accumulation in Several Marsh Types within the Mobile Bay and Mobile-Tensaw River Delta Region","container-title":"Journal of Coastal Research","page":"68–83","volume":"63","issue":"sp1","source":"Google Scholar","author":[{"family":"Smith","given":"Christopher G."},{"family":"Osterman","given":"Lisa E."},{"family":"Poore","given":"Richard Z."}],"issued":{"date-parts":[["2013"]]},"accessed":{"date-parts":[["2014",1,20]],"season":"20:48:49"}},"suppress-author":true}],"schema":"https://github.com/citation-style-language/schema/raw/master/csl-citation.json"} </w:instrText>
      </w:r>
      <w:r w:rsidR="00712EA6">
        <w:fldChar w:fldCharType="separate"/>
      </w:r>
      <w:r w:rsidR="00712EA6" w:rsidRPr="007931CF">
        <w:rPr>
          <w:rFonts w:ascii="Calibri" w:hAnsi="Calibri"/>
        </w:rPr>
        <w:t>2013)</w:t>
      </w:r>
      <w:r w:rsidR="00712EA6">
        <w:fldChar w:fldCharType="end"/>
      </w:r>
      <w:r w:rsidR="00712EA6">
        <w:t xml:space="preserve"> </w:t>
      </w:r>
      <w:r>
        <w:t xml:space="preserve">based on </w:t>
      </w:r>
      <w:r w:rsidR="0064740E">
        <w:t xml:space="preserve">the </w:t>
      </w:r>
      <w:r>
        <w:t xml:space="preserve">higher TSS </w:t>
      </w:r>
      <w:r w:rsidR="00712EA6">
        <w:t xml:space="preserve">observed </w:t>
      </w:r>
      <w:r>
        <w:t xml:space="preserve">in this region and </w:t>
      </w:r>
      <w:r w:rsidR="00712EA6">
        <w:t xml:space="preserve">observed </w:t>
      </w:r>
      <w:r>
        <w:t>accr</w:t>
      </w:r>
      <w:r w:rsidR="007931CF">
        <w:t xml:space="preserve">etion </w:t>
      </w:r>
      <w:r w:rsidR="00712EA6">
        <w:t>data cited above</w:t>
      </w:r>
      <w:r w:rsidR="007931CF">
        <w:t>.</w:t>
      </w:r>
      <w:r w:rsidR="008545A9">
        <w:t xml:space="preserve"> Th</w:t>
      </w:r>
      <w:r w:rsidR="00712EA6">
        <w:t>e Smith</w:t>
      </w:r>
      <w:r w:rsidR="008545A9">
        <w:t xml:space="preserve"> reference also informed the previous application of SLAMM to Mobile Bay.</w:t>
      </w:r>
    </w:p>
    <w:p w:rsidR="00712EA6" w:rsidRDefault="00712EA6" w:rsidP="00A14114">
      <w:pPr>
        <w:pStyle w:val="ListParagraph"/>
        <w:numPr>
          <w:ilvl w:val="0"/>
          <w:numId w:val="4"/>
        </w:numPr>
      </w:pPr>
      <w:r>
        <w:t>For Mississippi, with much higher TSS measured than Alabama, an intermediate curve between Alabama and Louisiana is proposed, with a minimum rate of 3 mm/year and a maximum of 11.</w:t>
      </w:r>
    </w:p>
    <w:p w:rsidR="0076726E" w:rsidRDefault="00A14114" w:rsidP="00A14114">
      <w:pPr>
        <w:pStyle w:val="ListParagraph"/>
        <w:numPr>
          <w:ilvl w:val="0"/>
          <w:numId w:val="4"/>
        </w:numPr>
      </w:pPr>
      <w:r>
        <w:t xml:space="preserve">For the region </w:t>
      </w:r>
      <w:r w:rsidR="007931CF">
        <w:t xml:space="preserve">of Southeastern Louisiana </w:t>
      </w:r>
      <w:r>
        <w:t>modeled by Glick and coworkers</w:t>
      </w:r>
      <w:r w:rsidR="00FC5A07">
        <w:t xml:space="preserve"> (2013)</w:t>
      </w:r>
      <w:r>
        <w:t>, the calibrated accretion feedbacks will be maintained</w:t>
      </w:r>
      <w:r w:rsidR="007931CF">
        <w:t xml:space="preserve"> as previously applied</w:t>
      </w:r>
      <w:r>
        <w:t>.</w:t>
      </w:r>
    </w:p>
    <w:p w:rsidR="00A14114" w:rsidRDefault="00A14114" w:rsidP="00A14114">
      <w:pPr>
        <w:pStyle w:val="ListParagraph"/>
        <w:numPr>
          <w:ilvl w:val="0"/>
          <w:numId w:val="4"/>
        </w:numPr>
      </w:pPr>
      <w:r>
        <w:t>For new regions in Louisiana, the new MEM3 model derived as part of this project will be applied with accretion rates ranging from 7-16 mm/year</w:t>
      </w:r>
      <w:r w:rsidR="00B97DAF">
        <w:t xml:space="preserve"> based on measurements by Delaune et al. </w:t>
      </w:r>
      <w:r w:rsidR="00B97DAF">
        <w:fldChar w:fldCharType="begin"/>
      </w:r>
      <w:r w:rsidR="00B97DAF">
        <w:instrText xml:space="preserve"> ADDIN ZOTERO_ITEM CSL_CITATION {"citationID":"2nitok0kk4","properties":{"formattedCitation":"(1989)","plainCitation":"(1989)"},"citationItems":[{"id":703,"uris":["http://zotero.org/groups/31952/items/3W2F469V"],"uri":["http://zotero.org/groups/31952/items/3W2F469V"],"itemData":{"id":703,"type":"article-journal","title":"Accretion and canal impacts in a rapidly subsiding wetland. I. 137Cs and210Pb techniques","container-title":"Estuaries","page":"247–259","volume":"12","issue":"4","source":"Google Scholar","author":[{"family":"DeLaune","given":"R. D."},{"family":"Whitcomb","given":"James H."},{"family":"Patrick","given":"W. H."},{"family":"Pardue","given":"John H."},{"family":"Pezeshki","given":"S. R."}],"issued":{"date-parts":[["1989"]]},"accessed":{"date-parts":[["2014",3,6]]}},"suppress-author":true}],"schema":"https://github.com/citation-style-language/schema/raw/master/csl-citation.json"} </w:instrText>
      </w:r>
      <w:r w:rsidR="00B97DAF">
        <w:fldChar w:fldCharType="separate"/>
      </w:r>
      <w:r w:rsidR="00B97DAF" w:rsidRPr="00B97DAF">
        <w:rPr>
          <w:rFonts w:ascii="Calibri" w:hAnsi="Calibri"/>
        </w:rPr>
        <w:t>(1989)</w:t>
      </w:r>
      <w:r w:rsidR="00B97DAF">
        <w:fldChar w:fldCharType="end"/>
      </w:r>
      <w:r w:rsidR="00B97DAF">
        <w:t xml:space="preserve"> and Nyman and coworkers </w:t>
      </w:r>
      <w:r w:rsidR="00B97DAF">
        <w:fldChar w:fldCharType="begin"/>
      </w:r>
      <w:r w:rsidR="00B97DAF">
        <w:instrText xml:space="preserve"> ADDIN ZOTERO_ITEM CSL_CITATION {"citationID":"5fq7p15k7","properties":{"formattedCitation":"(1993)","plainCitation":"(1993)"},"citationItems":[{"id":202,"uris":["http://zotero.org/groups/31952/items/P8TH4ZVT"],"uri":["http://zotero.org/groups/31952/items/P8TH4ZVT"],"itemData":{"id":202,"type":"article-journal","title":"Relationship between vegetation and soil formation in a rapidly submerging coastal marsh","container-title":"Marine ecology progress series. Oldendorf","page":"269–279","volume":"96","issue":"3","source":"Google Scholar","ISSN":"0171-8630","author":[{"family":"Nyman","given":"J. A"},{"family":"DeLaune","given":"R. D."},{"family":"Roberts","given":"H. H."},{"family":"Patrick Jr","given":"W. H."}],"issued":{"date-parts":[["1993"]]}},"suppress-author":true}],"schema":"https://github.com/citation-style-language/schema/raw/master/csl-citation.json"} </w:instrText>
      </w:r>
      <w:r w:rsidR="00B97DAF">
        <w:fldChar w:fldCharType="separate"/>
      </w:r>
      <w:r w:rsidR="00B97DAF" w:rsidRPr="00B97DAF">
        <w:rPr>
          <w:rFonts w:ascii="Calibri" w:hAnsi="Calibri"/>
        </w:rPr>
        <w:t>(1993)</w:t>
      </w:r>
      <w:r w:rsidR="00B97DAF">
        <w:fldChar w:fldCharType="end"/>
      </w:r>
      <w:r>
        <w:t>.</w:t>
      </w:r>
      <w:r w:rsidR="008545A9">
        <w:t xml:space="preserve"> This range is slightly wider than the </w:t>
      </w:r>
      <w:r w:rsidR="002A06F3">
        <w:t xml:space="preserve">6 to 11 mm/yr applied in SE Louisiana. </w:t>
      </w:r>
    </w:p>
    <w:p w:rsidR="00A14114" w:rsidRPr="00B97DAF" w:rsidRDefault="00A14114" w:rsidP="00A14114">
      <w:pPr>
        <w:pStyle w:val="ListParagraph"/>
        <w:numPr>
          <w:ilvl w:val="0"/>
          <w:numId w:val="4"/>
        </w:numPr>
      </w:pPr>
      <w:r>
        <w:t xml:space="preserve">For Northern Texas down to Freeport, calibrated accretion feedbacks in existing study areas will continue to be </w:t>
      </w:r>
      <w:r w:rsidRPr="00B97DAF">
        <w:t xml:space="preserve">applied, ranging from </w:t>
      </w:r>
      <w:r w:rsidR="00AF6AE1">
        <w:t>3.8</w:t>
      </w:r>
      <w:r w:rsidRPr="00B97DAF">
        <w:t>-</w:t>
      </w:r>
      <w:r w:rsidR="00AF6AE1">
        <w:t>10</w:t>
      </w:r>
      <w:r w:rsidR="00F341A9" w:rsidRPr="00B97DAF">
        <w:t xml:space="preserve"> </w:t>
      </w:r>
      <w:r w:rsidRPr="00B97DAF">
        <w:t>mm/year.</w:t>
      </w:r>
    </w:p>
    <w:p w:rsidR="00B04107" w:rsidRDefault="00A14114" w:rsidP="00B04107">
      <w:pPr>
        <w:pStyle w:val="ListParagraph"/>
        <w:numPr>
          <w:ilvl w:val="0"/>
          <w:numId w:val="4"/>
        </w:numPr>
      </w:pPr>
      <w:r>
        <w:t xml:space="preserve">For Southern Texas (below Freeport TX), </w:t>
      </w:r>
      <w:r w:rsidR="00B97DAF">
        <w:t xml:space="preserve">the generic MEM </w:t>
      </w:r>
      <w:r w:rsidR="00712EA6">
        <w:t>curve</w:t>
      </w:r>
      <w:r w:rsidR="00B97DAF">
        <w:t xml:space="preserve"> will be adapted to the area </w:t>
      </w:r>
      <w:r w:rsidR="001304BF">
        <w:t>based on</w:t>
      </w:r>
      <w:r w:rsidR="00B97DAF">
        <w:t xml:space="preserve"> a minimum accretion of</w:t>
      </w:r>
      <w:r w:rsidR="007931CF">
        <w:t xml:space="preserve"> </w:t>
      </w:r>
      <w:r w:rsidR="00AF6AE1">
        <w:t>4.6</w:t>
      </w:r>
      <w:r w:rsidR="007931CF">
        <w:t xml:space="preserve"> mm/yr </w:t>
      </w:r>
      <w:r w:rsidR="00FC5A07">
        <w:fldChar w:fldCharType="begin"/>
      </w:r>
      <w:r w:rsidR="00FC5A07">
        <w:instrText xml:space="preserve"> ADDIN ZOTERO_ITEM CSL_CITATION {"citationID":"1ubbf8hvo5","properties":{"formattedCitation":"(White et al. 2002)","plainCitation":"(White et al. 2002)"},"citationItems":[{"id":185,"uris":["http://zotero.org/groups/31952/items/W9HXMRBU"],"uri":["http://zotero.org/groups/31952/items/W9HXMRBU"],"itemData":{"id":185,"type":"article-journal","title":"A comparison of factors controlling sedimentation rates and wetland loss in fluvial-deltaic systems, Texas Gulf coast","container-title":"Geomorphology","page":"47-66","volume":"44","issue":"1-2","source":"ScienceDirect","abstract":"Submergence of coastal marshes in areas where rates of relative sea-level rise exceed rates of marsh sedimentation, or vertical accretion, is a global problem that requires detailed examination of the principal processes that establish, maintain, and degrade these biologically productive environments. Using a simple 210Pb-dating model, we measured sedimentation rates in cores from the Trinity, Lavaca-Navidad, and Nueces bayhead fluvial-deltaic systems in Texas where more than 2000 ha of wetlands have been lost since the 1950s. Long-term average rates of fluvial-deltaic aggradation decrease southwestward from 0.514±0.008 cm year-1 in the Trinity, 0.328±0.022 cm year-1 in the Lavaca-Navidad, to 0.262±0.034 cm year-1 in the Nueces. The relative magnitudes of sedimentation and wetland loss correlate with several parameters that define the differing fluvial-deltaic settings, including size of coastal drainage basin, average annual rainfall, suspended sediment load, thickness of Holocene mud in the valley fill, and rates of relative sea-level rise. There is some evidence that upstream reservoirs have reduced wetland sedimentation rates, which are now about one-half the local rates of relative sea-level rise. The extant conditions indicate that fluvial-deltaic marshes in these valleys will continue to be lost as a result of submergence and erosion.","DOI":"10.1016/S0169-555X(01)00140-4","ISSN":"0169-555X","author":[{"family":"White","given":"William A."},{"family":"Morton","given":"Robert A."},{"family":"Holmes","given":"Charles W."}],"issued":{"date-parts":[["2002",4,1]]},"accessed":{"date-parts":[["2010",12,24]]}}}],"schema":"https://github.com/citation-style-language/schema/raw/master/csl-citation.json"} </w:instrText>
      </w:r>
      <w:r w:rsidR="00FC5A07">
        <w:fldChar w:fldCharType="separate"/>
      </w:r>
      <w:r w:rsidR="00FC5A07" w:rsidRPr="00AF6AE1">
        <w:rPr>
          <w:rFonts w:ascii="Calibri" w:hAnsi="Calibri"/>
        </w:rPr>
        <w:t>(White et al. 2002)</w:t>
      </w:r>
      <w:r w:rsidR="00FC5A07">
        <w:fldChar w:fldCharType="end"/>
      </w:r>
      <w:r w:rsidR="00B97DAF">
        <w:t xml:space="preserve"> and a</w:t>
      </w:r>
      <w:r w:rsidR="007931CF">
        <w:t xml:space="preserve"> max</w:t>
      </w:r>
      <w:r w:rsidR="00B97DAF">
        <w:t>imum of</w:t>
      </w:r>
      <w:r w:rsidR="007931CF">
        <w:t xml:space="preserve"> </w:t>
      </w:r>
      <w:r w:rsidR="00AF6AE1">
        <w:t>8.4 mm/yr</w:t>
      </w:r>
      <w:r w:rsidR="00FC5A07">
        <w:t xml:space="preserve"> </w:t>
      </w:r>
      <w:r w:rsidR="00FC5A07">
        <w:fldChar w:fldCharType="begin"/>
      </w:r>
      <w:r w:rsidR="00FC5A07">
        <w:instrText xml:space="preserve"> ADDIN ZOTERO_ITEM CSL_CITATION {"citationID":"1p6tgo26gm","properties":{"formattedCitation":"(Callaway et al. 1997)","plainCitation":"(Callaway et al. 1997)"},"citationItems":[{"id":160,"uris":["http://zotero.org/groups/31952/items/78ME82T5"],"uri":["http://zotero.org/groups/31952/items/78ME82T5"],"itemData":{"id":160,"type":"article-journal","title":"Sediment Accretion Rates from Four Coastal Wetlands along the Gulf of Mexico","container-title":"Journal of Coastal Research","page":"181-191","volume":"13","issue":"1","source":"JSTOR","abstract":"Our study of sediment accretion rates from four low tidal-range sites along the Gulf of Mexico does not support previous hypotheses concerning the relationship between tidal range and vertical accretion rates. The addition of our data to an earlier data set decreased the correlation between these variables, and all but one of our low-tidal range sites had positive accretion rates, contradicting previous studies which have predicted that low tidal-range sites would have negative net accretion rates. Additionally, in transects across the marsh, accretion rates decreased from low- to high- marsh stations; however, this appeared to be caused by changes in rates of organic matter accumulation, not mineral matter accumulation, as has been proposed in previous studies. Vertical accretion rates were more strongly correlated with organic matter accumulation rates than mineral matter accumulation rates, confirming previous studies which indicated the important role of sediment organic matter in determining sediment structure. These results do not imply that mineral matter is unimportant in maintaining the elevation of the marsh; mineral matter input affects organic matter production and sediment bulk density. There was little correlation between mineral and organic matter accumulation rates, with average organic matter accumulation rates for each site having little variation compared to the variation in mineral matter accumulation rates. This result supports a previous hypothesis that there may be a limit to annual rates of organic matter accumulation. Finally, the study indicates that the negative net accretion rates documented in Louisiana are not typical of other Gulf coast wetlands.","ISSN":"07490208","note":"ArticleType: research-article / Full publication date: Winter, 1997 / Copyright © 1997 Coastal Education &amp; Research Foundation, Inc.","author":[{"family":"Callaway","given":"J. C."},{"family":"DeLaune","given":"R. D."},{"family":"Patrick, Jr.","given":"W. H."}],"issued":{"date-parts":[["1997"]],"season":"Winter"},"accessed":{"date-parts":[["2010",11,3]]}}}],"schema":"https://github.com/citation-style-language/schema/raw/master/csl-citation.json"} </w:instrText>
      </w:r>
      <w:r w:rsidR="00FC5A07">
        <w:fldChar w:fldCharType="separate"/>
      </w:r>
      <w:r w:rsidR="00FC5A07" w:rsidRPr="00AF6AE1">
        <w:rPr>
          <w:rFonts w:ascii="Calibri" w:hAnsi="Calibri"/>
        </w:rPr>
        <w:t>(Callaway et al. 1997)</w:t>
      </w:r>
      <w:r w:rsidR="00FC5A07">
        <w:fldChar w:fldCharType="end"/>
      </w:r>
      <w:r w:rsidR="00B97DAF">
        <w:t>.</w:t>
      </w:r>
      <w:r w:rsidR="002A06F3">
        <w:t xml:space="preserve"> </w:t>
      </w:r>
    </w:p>
    <w:p w:rsidR="00F341A9" w:rsidRDefault="004D5756" w:rsidP="00712EA6">
      <w:pPr>
        <w:keepNext/>
        <w:spacing w:after="60"/>
      </w:pPr>
      <w:r>
        <w:br/>
      </w:r>
      <w:r w:rsidR="00F33D90" w:rsidRPr="00A53BBA">
        <w:rPr>
          <w:noProof/>
        </w:rPr>
        <w:drawing>
          <wp:inline distT="0" distB="0" distL="0" distR="0" wp14:anchorId="2B89DABF" wp14:editId="629997AB">
            <wp:extent cx="5943600" cy="371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4D5756" w:rsidRDefault="00F341A9" w:rsidP="00F341A9">
      <w:pPr>
        <w:pStyle w:val="Caption"/>
      </w:pPr>
      <w:bookmarkStart w:id="2" w:name="_Ref389231722"/>
      <w:r>
        <w:t xml:space="preserve">Figure </w:t>
      </w:r>
      <w:fldSimple w:instr=" SEQ Figure \* ARABIC ">
        <w:r>
          <w:rPr>
            <w:noProof/>
          </w:rPr>
          <w:t>3</w:t>
        </w:r>
      </w:fldSimple>
      <w:bookmarkEnd w:id="2"/>
      <w:r>
        <w:t xml:space="preserve">. </w:t>
      </w:r>
      <w:r w:rsidR="006924F5">
        <w:t>Generic MEM3 curve</w:t>
      </w:r>
      <w:r w:rsidR="00712EA6">
        <w:t xml:space="preserve"> </w:t>
      </w:r>
    </w:p>
    <w:p w:rsidR="000E293E" w:rsidRDefault="00712EA6" w:rsidP="000E293E">
      <w:pPr>
        <w:pStyle w:val="Caption"/>
        <w:keepNext/>
      </w:pPr>
      <w:r>
        <w:br/>
      </w:r>
      <w:r w:rsidR="000E293E">
        <w:t xml:space="preserve">Table </w:t>
      </w:r>
      <w:fldSimple w:instr=" SEQ Table \* ARABIC ">
        <w:r w:rsidR="000E293E">
          <w:rPr>
            <w:noProof/>
          </w:rPr>
          <w:t>1</w:t>
        </w:r>
      </w:fldSimple>
      <w:r w:rsidR="000E293E">
        <w:t>. Proposed accretion rate ranges</w:t>
      </w:r>
      <w:r>
        <w:t xml:space="preserve"> to use in above curve</w:t>
      </w:r>
    </w:p>
    <w:tbl>
      <w:tblPr>
        <w:tblW w:w="9365" w:type="dxa"/>
        <w:tblInd w:w="103" w:type="dxa"/>
        <w:tblLook w:val="04A0" w:firstRow="1" w:lastRow="0" w:firstColumn="1" w:lastColumn="0" w:noHBand="0" w:noVBand="1"/>
      </w:tblPr>
      <w:tblGrid>
        <w:gridCol w:w="2255"/>
        <w:gridCol w:w="1260"/>
        <w:gridCol w:w="1440"/>
        <w:gridCol w:w="4410"/>
      </w:tblGrid>
      <w:tr w:rsidR="006924F5" w:rsidRPr="006924F5" w:rsidTr="001304BF">
        <w:trPr>
          <w:trHeight w:val="900"/>
        </w:trPr>
        <w:tc>
          <w:tcPr>
            <w:tcW w:w="22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24F5" w:rsidRPr="006924F5" w:rsidRDefault="006924F5" w:rsidP="006924F5">
            <w:pPr>
              <w:spacing w:after="0" w:line="240" w:lineRule="auto"/>
              <w:jc w:val="center"/>
              <w:rPr>
                <w:rFonts w:ascii="Calibri" w:eastAsia="Times New Roman" w:hAnsi="Calibri" w:cs="Times New Roman"/>
                <w:b/>
                <w:bCs/>
                <w:color w:val="000000"/>
              </w:rPr>
            </w:pPr>
            <w:r w:rsidRPr="006924F5">
              <w:rPr>
                <w:rFonts w:ascii="Calibri" w:eastAsia="Times New Roman" w:hAnsi="Calibri" w:cs="Times New Roman"/>
                <w:b/>
                <w:bCs/>
                <w:color w:val="000000"/>
              </w:rPr>
              <w:t>Location</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6924F5" w:rsidRPr="006924F5" w:rsidRDefault="006924F5" w:rsidP="006924F5">
            <w:pPr>
              <w:spacing w:after="0" w:line="240" w:lineRule="auto"/>
              <w:jc w:val="center"/>
              <w:rPr>
                <w:rFonts w:ascii="Calibri" w:eastAsia="Times New Roman" w:hAnsi="Calibri" w:cs="Times New Roman"/>
                <w:b/>
                <w:bCs/>
                <w:color w:val="000000"/>
              </w:rPr>
            </w:pPr>
            <w:r w:rsidRPr="006924F5">
              <w:rPr>
                <w:rFonts w:ascii="Calibri" w:eastAsia="Times New Roman" w:hAnsi="Calibri" w:cs="Times New Roman"/>
                <w:b/>
                <w:bCs/>
                <w:color w:val="000000"/>
              </w:rPr>
              <w:t>Minimum Accretion rate (mm/yr)</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6924F5" w:rsidRPr="006924F5" w:rsidRDefault="006924F5" w:rsidP="006924F5">
            <w:pPr>
              <w:spacing w:after="0" w:line="240" w:lineRule="auto"/>
              <w:jc w:val="center"/>
              <w:rPr>
                <w:rFonts w:ascii="Calibri" w:eastAsia="Times New Roman" w:hAnsi="Calibri" w:cs="Times New Roman"/>
                <w:b/>
                <w:bCs/>
                <w:color w:val="000000"/>
              </w:rPr>
            </w:pPr>
            <w:r w:rsidRPr="006924F5">
              <w:rPr>
                <w:rFonts w:ascii="Calibri" w:eastAsia="Times New Roman" w:hAnsi="Calibri" w:cs="Times New Roman"/>
                <w:b/>
                <w:bCs/>
                <w:color w:val="000000"/>
              </w:rPr>
              <w:t>Maximum Accretion rate (mm/yr)</w:t>
            </w:r>
          </w:p>
        </w:tc>
        <w:tc>
          <w:tcPr>
            <w:tcW w:w="4410" w:type="dxa"/>
            <w:tcBorders>
              <w:top w:val="single" w:sz="4" w:space="0" w:color="auto"/>
              <w:left w:val="nil"/>
              <w:bottom w:val="single" w:sz="4" w:space="0" w:color="auto"/>
              <w:right w:val="single" w:sz="4" w:space="0" w:color="auto"/>
            </w:tcBorders>
            <w:shd w:val="clear" w:color="000000" w:fill="D9D9D9"/>
            <w:vAlign w:val="center"/>
            <w:hideMark/>
          </w:tcPr>
          <w:p w:rsidR="006924F5" w:rsidRPr="006924F5" w:rsidRDefault="006924F5" w:rsidP="006924F5">
            <w:pPr>
              <w:spacing w:after="0" w:line="240" w:lineRule="auto"/>
              <w:jc w:val="center"/>
              <w:rPr>
                <w:rFonts w:ascii="Calibri" w:eastAsia="Times New Roman" w:hAnsi="Calibri" w:cs="Times New Roman"/>
                <w:b/>
                <w:bCs/>
                <w:color w:val="000000"/>
              </w:rPr>
            </w:pPr>
            <w:r w:rsidRPr="006924F5">
              <w:rPr>
                <w:rFonts w:ascii="Calibri" w:eastAsia="Times New Roman" w:hAnsi="Calibri" w:cs="Times New Roman"/>
                <w:b/>
                <w:bCs/>
                <w:color w:val="000000"/>
              </w:rPr>
              <w:t>Notes</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South FL</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0.8</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4.9</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6924F5">
            <w:pPr>
              <w:spacing w:after="0" w:line="240" w:lineRule="auto"/>
              <w:rPr>
                <w:rFonts w:ascii="Calibri" w:eastAsia="Times New Roman" w:hAnsi="Calibri" w:cs="Times New Roman"/>
                <w:color w:val="000000"/>
              </w:rPr>
            </w:pPr>
            <w:r>
              <w:rPr>
                <w:rFonts w:ascii="Calibri" w:eastAsia="Times New Roman" w:hAnsi="Calibri" w:cs="Times New Roman"/>
                <w:color w:val="000000"/>
              </w:rPr>
              <w:t>Lowest TSS region</w:t>
            </w:r>
            <w:r w:rsidR="00712EA6">
              <w:rPr>
                <w:rFonts w:ascii="Calibri" w:eastAsia="Times New Roman" w:hAnsi="Calibri" w:cs="Times New Roman"/>
                <w:color w:val="000000"/>
              </w:rPr>
              <w:t xml:space="preserve"> and measured accretion.</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North FL</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0.8</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7.6</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712EA6">
            <w:pPr>
              <w:spacing w:after="0" w:line="240" w:lineRule="auto"/>
              <w:rPr>
                <w:rFonts w:ascii="Calibri" w:eastAsia="Times New Roman" w:hAnsi="Calibri" w:cs="Times New Roman"/>
                <w:color w:val="000000"/>
              </w:rPr>
            </w:pPr>
            <w:r>
              <w:rPr>
                <w:rFonts w:ascii="Calibri" w:eastAsia="Times New Roman" w:hAnsi="Calibri" w:cs="Times New Roman"/>
                <w:color w:val="000000"/>
              </w:rPr>
              <w:t>Higher TSS and measured accr</w:t>
            </w:r>
            <w:r w:rsidR="00712EA6">
              <w:rPr>
                <w:rFonts w:ascii="Calibri" w:eastAsia="Times New Roman" w:hAnsi="Calibri" w:cs="Times New Roman"/>
                <w:color w:val="000000"/>
              </w:rPr>
              <w:t>etion.</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1304BF" w:rsidP="006924F5">
            <w:pPr>
              <w:spacing w:after="0" w:line="240" w:lineRule="auto"/>
              <w:rPr>
                <w:rFonts w:ascii="Calibri" w:eastAsia="Times New Roman" w:hAnsi="Calibri" w:cs="Times New Roman"/>
                <w:color w:val="000000"/>
              </w:rPr>
            </w:pPr>
            <w:r>
              <w:rPr>
                <w:rFonts w:ascii="Calibri" w:eastAsia="Times New Roman" w:hAnsi="Calibri" w:cs="Times New Roman"/>
                <w:color w:val="000000"/>
              </w:rPr>
              <w:t>AL</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6.8</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1304BF">
            <w:pPr>
              <w:spacing w:after="0" w:line="240" w:lineRule="auto"/>
              <w:rPr>
                <w:rFonts w:ascii="Calibri" w:eastAsia="Times New Roman" w:hAnsi="Calibri" w:cs="Times New Roman"/>
                <w:color w:val="000000"/>
              </w:rPr>
            </w:pPr>
            <w:r>
              <w:rPr>
                <w:rFonts w:ascii="Calibri" w:eastAsia="Times New Roman" w:hAnsi="Calibri" w:cs="Times New Roman"/>
                <w:color w:val="000000"/>
              </w:rPr>
              <w:t>Slightly lower TSS th</w:t>
            </w:r>
            <w:r w:rsidR="001304BF">
              <w:rPr>
                <w:rFonts w:ascii="Calibri" w:eastAsia="Times New Roman" w:hAnsi="Calibri" w:cs="Times New Roman"/>
                <w:color w:val="000000"/>
              </w:rPr>
              <w:t>a</w:t>
            </w:r>
            <w:r>
              <w:rPr>
                <w:rFonts w:ascii="Calibri" w:eastAsia="Times New Roman" w:hAnsi="Calibri" w:cs="Times New Roman"/>
                <w:color w:val="000000"/>
              </w:rPr>
              <w:t>n N. FL.</w:t>
            </w:r>
            <w:r w:rsidR="00712EA6">
              <w:rPr>
                <w:rFonts w:ascii="Calibri" w:eastAsia="Times New Roman" w:hAnsi="Calibri" w:cs="Times New Roman"/>
                <w:color w:val="000000"/>
              </w:rPr>
              <w:t xml:space="preserve"> and observed.</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Mobile Bay</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11</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712EA6">
            <w:pPr>
              <w:spacing w:after="0" w:line="240" w:lineRule="auto"/>
              <w:rPr>
                <w:rFonts w:ascii="Calibri" w:eastAsia="Times New Roman" w:hAnsi="Calibri" w:cs="Times New Roman"/>
                <w:color w:val="000000"/>
              </w:rPr>
            </w:pPr>
            <w:r>
              <w:rPr>
                <w:rFonts w:ascii="Calibri" w:eastAsia="Times New Roman" w:hAnsi="Calibri" w:cs="Times New Roman"/>
                <w:color w:val="000000"/>
              </w:rPr>
              <w:t>Higher TSS and measured accr</w:t>
            </w:r>
            <w:r w:rsidR="00712EA6">
              <w:rPr>
                <w:rFonts w:ascii="Calibri" w:eastAsia="Times New Roman" w:hAnsi="Calibri" w:cs="Times New Roman"/>
                <w:color w:val="000000"/>
              </w:rPr>
              <w:t>etion</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MS</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11</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B75448">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006924F5" w:rsidRPr="006924F5">
              <w:rPr>
                <w:rFonts w:ascii="Calibri" w:eastAsia="Times New Roman" w:hAnsi="Calibri" w:cs="Times New Roman"/>
                <w:color w:val="000000"/>
              </w:rPr>
              <w:t>imilar to non-</w:t>
            </w:r>
            <w:r>
              <w:rPr>
                <w:rFonts w:ascii="Calibri" w:eastAsia="Times New Roman" w:hAnsi="Calibri" w:cs="Times New Roman"/>
                <w:color w:val="000000"/>
              </w:rPr>
              <w:t>B</w:t>
            </w:r>
            <w:r w:rsidR="006924F5" w:rsidRPr="006924F5">
              <w:rPr>
                <w:rFonts w:ascii="Calibri" w:eastAsia="Times New Roman" w:hAnsi="Calibri" w:cs="Times New Roman"/>
                <w:color w:val="000000"/>
              </w:rPr>
              <w:t>ird's</w:t>
            </w:r>
            <w:r>
              <w:rPr>
                <w:rFonts w:ascii="Calibri" w:eastAsia="Times New Roman" w:hAnsi="Calibri" w:cs="Times New Roman"/>
                <w:color w:val="000000"/>
              </w:rPr>
              <w:t xml:space="preserve"> F</w:t>
            </w:r>
            <w:r w:rsidR="006924F5" w:rsidRPr="006924F5">
              <w:rPr>
                <w:rFonts w:ascii="Calibri" w:eastAsia="Times New Roman" w:hAnsi="Calibri" w:cs="Times New Roman"/>
                <w:color w:val="000000"/>
              </w:rPr>
              <w:t>oot LA</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6924F5" w:rsidP="001304BF">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SE L</w:t>
            </w:r>
            <w:r w:rsidR="001304BF">
              <w:rPr>
                <w:rFonts w:ascii="Calibri" w:eastAsia="Times New Roman" w:hAnsi="Calibri" w:cs="Times New Roman"/>
                <w:color w:val="000000"/>
              </w:rPr>
              <w:t>A</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16</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6924F5">
            <w:pPr>
              <w:spacing w:after="0" w:line="240" w:lineRule="auto"/>
              <w:rPr>
                <w:rFonts w:ascii="Calibri" w:eastAsia="Times New Roman" w:hAnsi="Calibri" w:cs="Times New Roman"/>
                <w:color w:val="000000"/>
              </w:rPr>
            </w:pPr>
            <w:r>
              <w:rPr>
                <w:rFonts w:ascii="Calibri" w:eastAsia="Times New Roman" w:hAnsi="Calibri" w:cs="Times New Roman"/>
                <w:color w:val="000000"/>
              </w:rPr>
              <w:t>Calibrated, varies spatially</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 xml:space="preserve">LA Chenier Plain </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16</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MEM3 calibration</w:t>
            </w:r>
            <w:r w:rsidR="00B75448">
              <w:rPr>
                <w:rFonts w:ascii="Calibri" w:eastAsia="Times New Roman" w:hAnsi="Calibri" w:cs="Times New Roman"/>
                <w:color w:val="000000"/>
              </w:rPr>
              <w:t xml:space="preserve"> (</w:t>
            </w:r>
            <w:r w:rsidR="00B75448">
              <w:rPr>
                <w:rFonts w:ascii="Calibri" w:eastAsia="Times New Roman" w:hAnsi="Calibri" w:cs="Times New Roman"/>
                <w:color w:val="000000"/>
              </w:rPr>
              <w:fldChar w:fldCharType="begin"/>
            </w:r>
            <w:r w:rsidR="00B75448">
              <w:rPr>
                <w:rFonts w:ascii="Calibri" w:eastAsia="Times New Roman" w:hAnsi="Calibri" w:cs="Times New Roman"/>
                <w:color w:val="000000"/>
              </w:rPr>
              <w:instrText xml:space="preserve"> REF _Ref389147812 \h </w:instrText>
            </w:r>
            <w:r w:rsidR="00B75448">
              <w:rPr>
                <w:rFonts w:ascii="Calibri" w:eastAsia="Times New Roman" w:hAnsi="Calibri" w:cs="Times New Roman"/>
                <w:color w:val="000000"/>
              </w:rPr>
            </w:r>
            <w:r w:rsidR="00B75448">
              <w:rPr>
                <w:rFonts w:ascii="Calibri" w:eastAsia="Times New Roman" w:hAnsi="Calibri" w:cs="Times New Roman"/>
                <w:color w:val="000000"/>
              </w:rPr>
              <w:fldChar w:fldCharType="separate"/>
            </w:r>
            <w:r w:rsidR="00B75448">
              <w:t xml:space="preserve">Figure </w:t>
            </w:r>
            <w:r w:rsidR="00B75448">
              <w:rPr>
                <w:noProof/>
              </w:rPr>
              <w:t>2</w:t>
            </w:r>
            <w:r w:rsidR="00B75448">
              <w:rPr>
                <w:rFonts w:ascii="Calibri" w:eastAsia="Times New Roman" w:hAnsi="Calibri" w:cs="Times New Roman"/>
                <w:color w:val="000000"/>
              </w:rPr>
              <w:fldChar w:fldCharType="end"/>
            </w:r>
            <w:r w:rsidR="00B75448">
              <w:rPr>
                <w:rFonts w:ascii="Calibri" w:eastAsia="Times New Roman" w:hAnsi="Calibri" w:cs="Times New Roman"/>
                <w:color w:val="000000"/>
              </w:rPr>
              <w:t>)</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Jefferson Co. TX</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12</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1304BF">
            <w:pPr>
              <w:spacing w:after="0" w:line="240" w:lineRule="auto"/>
              <w:rPr>
                <w:rFonts w:ascii="Calibri" w:eastAsia="Times New Roman" w:hAnsi="Calibri" w:cs="Times New Roman"/>
                <w:color w:val="000000"/>
              </w:rPr>
            </w:pPr>
            <w:r>
              <w:rPr>
                <w:rFonts w:ascii="Calibri" w:eastAsia="Times New Roman" w:hAnsi="Calibri" w:cs="Times New Roman"/>
                <w:color w:val="000000"/>
              </w:rPr>
              <w:t>Intermedia</w:t>
            </w:r>
            <w:r w:rsidR="001304BF">
              <w:rPr>
                <w:rFonts w:ascii="Calibri" w:eastAsia="Times New Roman" w:hAnsi="Calibri" w:cs="Times New Roman"/>
                <w:color w:val="000000"/>
              </w:rPr>
              <w:t>te between LA and Galveston Bay</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rPr>
                <w:rFonts w:ascii="Calibri" w:eastAsia="Times New Roman" w:hAnsi="Calibri" w:cs="Times New Roman"/>
                <w:color w:val="000000"/>
              </w:rPr>
            </w:pPr>
            <w:r w:rsidRPr="006924F5">
              <w:rPr>
                <w:rFonts w:ascii="Calibri" w:eastAsia="Times New Roman" w:hAnsi="Calibri" w:cs="Times New Roman"/>
                <w:color w:val="000000"/>
              </w:rPr>
              <w:t>Galveston Bay</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3.8</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10</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6924F5">
            <w:pPr>
              <w:spacing w:after="0" w:line="240" w:lineRule="auto"/>
              <w:rPr>
                <w:rFonts w:ascii="Calibri" w:eastAsia="Times New Roman" w:hAnsi="Calibri" w:cs="Times New Roman"/>
                <w:color w:val="000000"/>
              </w:rPr>
            </w:pPr>
            <w:r>
              <w:rPr>
                <w:rFonts w:ascii="Calibri" w:eastAsia="Times New Roman" w:hAnsi="Calibri" w:cs="Times New Roman"/>
                <w:color w:val="000000"/>
              </w:rPr>
              <w:t>Calibrated previously</w:t>
            </w:r>
          </w:p>
        </w:tc>
      </w:tr>
      <w:tr w:rsidR="006924F5" w:rsidRPr="006924F5" w:rsidTr="001304BF">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6924F5" w:rsidRPr="006924F5" w:rsidRDefault="001304BF" w:rsidP="006924F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Freeport </w:t>
            </w:r>
            <w:r w:rsidR="006924F5" w:rsidRPr="006924F5">
              <w:rPr>
                <w:rFonts w:ascii="Calibri" w:eastAsia="Times New Roman" w:hAnsi="Calibri" w:cs="Times New Roman"/>
                <w:color w:val="000000"/>
              </w:rPr>
              <w:t>to MX border</w:t>
            </w:r>
          </w:p>
        </w:tc>
        <w:tc>
          <w:tcPr>
            <w:tcW w:w="126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4.6</w:t>
            </w:r>
          </w:p>
        </w:tc>
        <w:tc>
          <w:tcPr>
            <w:tcW w:w="1440" w:type="dxa"/>
            <w:tcBorders>
              <w:top w:val="nil"/>
              <w:left w:val="nil"/>
              <w:bottom w:val="single" w:sz="4" w:space="0" w:color="auto"/>
              <w:right w:val="single" w:sz="4" w:space="0" w:color="auto"/>
            </w:tcBorders>
            <w:shd w:val="clear" w:color="auto" w:fill="auto"/>
            <w:noWrap/>
            <w:vAlign w:val="bottom"/>
            <w:hideMark/>
          </w:tcPr>
          <w:p w:rsidR="006924F5" w:rsidRPr="006924F5" w:rsidRDefault="006924F5" w:rsidP="006924F5">
            <w:pPr>
              <w:spacing w:after="0" w:line="240" w:lineRule="auto"/>
              <w:jc w:val="center"/>
              <w:rPr>
                <w:rFonts w:ascii="Calibri" w:eastAsia="Times New Roman" w:hAnsi="Calibri" w:cs="Times New Roman"/>
                <w:color w:val="000000"/>
              </w:rPr>
            </w:pPr>
            <w:r w:rsidRPr="006924F5">
              <w:rPr>
                <w:rFonts w:ascii="Calibri" w:eastAsia="Times New Roman" w:hAnsi="Calibri" w:cs="Times New Roman"/>
                <w:color w:val="000000"/>
              </w:rPr>
              <w:t>8.4</w:t>
            </w:r>
          </w:p>
        </w:tc>
        <w:tc>
          <w:tcPr>
            <w:tcW w:w="4410" w:type="dxa"/>
            <w:tcBorders>
              <w:top w:val="nil"/>
              <w:left w:val="nil"/>
              <w:bottom w:val="single" w:sz="4" w:space="0" w:color="auto"/>
              <w:right w:val="single" w:sz="4" w:space="0" w:color="auto"/>
            </w:tcBorders>
            <w:shd w:val="clear" w:color="auto" w:fill="auto"/>
            <w:noWrap/>
            <w:vAlign w:val="bottom"/>
            <w:hideMark/>
          </w:tcPr>
          <w:p w:rsidR="006924F5" w:rsidRPr="006924F5" w:rsidRDefault="00B75448" w:rsidP="00B0410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Lower TSS, and based on </w:t>
            </w:r>
            <w:r w:rsidRPr="00B04107">
              <w:rPr>
                <w:rFonts w:ascii="Calibri" w:eastAsia="Times New Roman" w:hAnsi="Calibri" w:cs="Times New Roman"/>
                <w:color w:val="000000"/>
              </w:rPr>
              <w:t>Call</w:t>
            </w:r>
            <w:r w:rsidR="00B04107" w:rsidRPr="00B04107">
              <w:rPr>
                <w:rFonts w:ascii="Calibri" w:eastAsia="Times New Roman" w:hAnsi="Calibri" w:cs="Times New Roman"/>
                <w:color w:val="000000"/>
              </w:rPr>
              <w:t>a</w:t>
            </w:r>
            <w:r w:rsidRPr="00B04107">
              <w:rPr>
                <w:rFonts w:ascii="Calibri" w:eastAsia="Times New Roman" w:hAnsi="Calibri" w:cs="Times New Roman"/>
                <w:color w:val="000000"/>
              </w:rPr>
              <w:t>way (</w:t>
            </w:r>
            <w:r w:rsidR="00B04107" w:rsidRPr="00B04107">
              <w:rPr>
                <w:rFonts w:ascii="Calibri" w:eastAsia="Times New Roman" w:hAnsi="Calibri" w:cs="Times New Roman"/>
                <w:color w:val="000000"/>
              </w:rPr>
              <w:t>1997</w:t>
            </w:r>
            <w:r w:rsidRPr="00B04107">
              <w:rPr>
                <w:rFonts w:ascii="Calibri" w:eastAsia="Times New Roman" w:hAnsi="Calibri" w:cs="Times New Roman"/>
                <w:color w:val="000000"/>
              </w:rPr>
              <w:t>)</w:t>
            </w:r>
          </w:p>
        </w:tc>
      </w:tr>
    </w:tbl>
    <w:p w:rsidR="00F341A9" w:rsidRDefault="00F341A9" w:rsidP="00D52681">
      <w:pPr>
        <w:pStyle w:val="ListParagraph"/>
        <w:ind w:left="0"/>
        <w:rPr>
          <w:b/>
        </w:rPr>
      </w:pPr>
    </w:p>
    <w:p w:rsidR="00F341A9" w:rsidRDefault="00F341A9" w:rsidP="00D52681">
      <w:pPr>
        <w:pStyle w:val="ListParagraph"/>
        <w:ind w:left="0"/>
        <w:rPr>
          <w:b/>
        </w:rPr>
      </w:pPr>
    </w:p>
    <w:p w:rsidR="00B75448" w:rsidRDefault="00B75448">
      <w:pPr>
        <w:rPr>
          <w:b/>
        </w:rPr>
      </w:pPr>
      <w:r>
        <w:rPr>
          <w:b/>
        </w:rPr>
        <w:br w:type="page"/>
      </w:r>
    </w:p>
    <w:p w:rsidR="00BD6887" w:rsidRPr="00F33D90" w:rsidRDefault="00D52681" w:rsidP="00D52681">
      <w:pPr>
        <w:pStyle w:val="ListParagraph"/>
        <w:ind w:left="0"/>
        <w:rPr>
          <w:b/>
        </w:rPr>
      </w:pPr>
      <w:r w:rsidRPr="004D3415">
        <w:rPr>
          <w:b/>
        </w:rPr>
        <w:t xml:space="preserve">Approach for </w:t>
      </w:r>
      <w:r w:rsidR="00BD6887" w:rsidRPr="004D3415">
        <w:rPr>
          <w:b/>
        </w:rPr>
        <w:t>wetland categories without feedbacks:</w:t>
      </w:r>
    </w:p>
    <w:p w:rsidR="001F1AC4" w:rsidRDefault="001F1AC4" w:rsidP="001F1AC4">
      <w:pPr>
        <w:rPr>
          <w:u w:val="single"/>
        </w:rPr>
      </w:pPr>
      <w:r w:rsidRPr="001F1AC4">
        <w:rPr>
          <w:u w:val="single"/>
        </w:rPr>
        <w:t>Irregularly-flooded marshes:</w:t>
      </w:r>
    </w:p>
    <w:p w:rsidR="001F1AC4" w:rsidRDefault="001F1AC4" w:rsidP="00B75448">
      <w:r>
        <w:t xml:space="preserve">For Irregularly-flooded marsh the MEM3 model provides somewhat fewer insights as the effect of inorganic sedimentation, so important to MEM3 predictions, is relatively unimportant above the mean higher high water (MHHW) level.  </w:t>
      </w:r>
      <w:r w:rsidR="00A579D3">
        <w:t>In other words</w:t>
      </w:r>
      <w:r>
        <w:t xml:space="preserve">, the feedback between irregularly-flooded marshes and their elevations is less important as the tidal flooding which drives this process is </w:t>
      </w:r>
      <w:r w:rsidR="00A579D3">
        <w:t xml:space="preserve">much </w:t>
      </w:r>
      <w:r>
        <w:t>less regular.  For this reason, we do not plan to use the MEM3 model to model irregularly-flooded marshes for this application and instead will rely on average accretion rate data as has been done in previous model applications.</w:t>
      </w:r>
    </w:p>
    <w:p w:rsidR="00BD6887" w:rsidRDefault="00BD6887" w:rsidP="00D52681">
      <w:pPr>
        <w:pStyle w:val="ListParagraph"/>
        <w:ind w:left="0"/>
        <w:rPr>
          <w:u w:val="single"/>
        </w:rPr>
      </w:pPr>
      <w:r w:rsidRPr="0045173C">
        <w:rPr>
          <w:u w:val="single"/>
        </w:rPr>
        <w:t>Mangrove</w:t>
      </w:r>
    </w:p>
    <w:p w:rsidR="00B75448" w:rsidRDefault="00B75448" w:rsidP="00D52681">
      <w:pPr>
        <w:pStyle w:val="ListParagraph"/>
        <w:ind w:left="0"/>
        <w:rPr>
          <w:u w:val="single"/>
        </w:rPr>
      </w:pPr>
    </w:p>
    <w:p w:rsidR="002238F3" w:rsidRDefault="002849F1" w:rsidP="00D52681">
      <w:pPr>
        <w:pStyle w:val="ListParagraph"/>
        <w:ind w:left="0"/>
      </w:pPr>
      <w:r>
        <w:t xml:space="preserve">Elevation change data </w:t>
      </w:r>
      <w:r w:rsidR="001304BF">
        <w:t xml:space="preserve">collected in Florida suggests an accretion rate of 2 mm/yr </w:t>
      </w:r>
      <w:r w:rsidR="001304BF">
        <w:fldChar w:fldCharType="begin"/>
      </w:r>
      <w:r w:rsidR="001304BF">
        <w:instrText xml:space="preserve"> ADDIN ZOTERO_ITEM CSL_CITATION {"citationID":"9gjhb209i","properties":{"formattedCitation":"(Cahoon and Lynch 1997; Donoghue 2011; McKee 2011)","plainCitation":"(Cahoon and Lynch 1997; Donoghue 2011; McKee 2011)"},"citationItems":[{"id":284,"uris":["http://zotero.org/groups/31952/items/T7WBKM8D"],"uri":["http://zotero.org/groups/31952/items/T7WBKM8D"],"itemData":{"id":284,"type":"article-journal","title":"Vertical accretion and shallow subsidence in a mangrove forest of southwestern Florida, USA","container-title":"Mangroves and Salt Marshes","page":"173–186","volume":"1","issue":"3","source":"Google Scholar","author":[{"family":"Cahoon","given":"D. R"},{"family":"Lynch","given":"J. C"}],"issued":{"date-parts":[["1997"]]}}},{"id":287,"uris":["http://zotero.org/groups/31952/items/U9R9UNF5"],"uri":["http://zotero.org/groups/31952/items/U9R9UNF5"],"itemData":{"id":287,"type":"personal_communication","title":"SET question","abstract":"The bays where we have SET data in the Big Bend are Apalachicola Bay, Ochlockonee Bay (Turtle Island and Bald Point), and St. Marks River.   St. Andrews Bay and Choctawhatchee Bay are lagoons behind barrier islands.   They are most like Apalachicola Bay, although not perfectly alike.   Apalachicola Bay has a significantly larger watershed than those of St. Andrews or Choctawhatchee Bay, and greater alluvial sediment input.   \n\nThe Ochlockonee River estuary is more similar to St. Andrews and Choctawhatchee Bays, in terms of fluvial influence.  The watersheds and associated rivers are similar.  So the St. Andrews/Choctawhatchee systems might be said to sit between the Apalachicola and Ochlockonee systems, in terms of fluvial influence and sediment supply.\n\nWave energy does not vary much.   I think you would find that the wave buoys indicate an increase in energy westward, but not by a large amount.\n\nSame thing for tidal range.   It does not vary much across that stretch of the Gulf coast.","author":[{"family":"Donoghue","given":"Joseph"}],"issued":{"date-parts":[["2011",7,7]]}}},{"id":971,"uris":["http://zotero.org/users/407874/items/PM6ZPERW"],"uri":["http://zotero.org/users/407874/items/PM6ZPERW"],"itemData":{"id":971,"type":"article-journal","title":"Biophysical controls on accretion and elevation change in Caribbean mangrove ecosystems","container-title":"Estuarine, Coastal and Shelf Science","page":"475-483","volume":"91","issue":"4","source":"ScienceDirect","abstract":"Habitat stability of coastal ecosystems, such as marshes and mangroves, depends on maintenance of soil elevations relative to sea level. Many such systems are characterized by limited mineral sedimentation and/or rapid subsidence and are consequently dependent upon accumulation of organic matter to maintain elevations. However, little field information exists regarding the contribution of specific biological processes to vertical accretion and elevation change. This study used biogenic mangrove systems in carbonate settings in Belize (BZ) and southwest Florida (FL) to examine biophysical controls on elevation change. Rates of elevation change, vertical accretion, benthic mat formation, and belowground root accumulation were measured in fringe, basin, scrub, and dwarf forest types plus a restored forest. Elevation change rates (mm yr−1) measured with Surface Elevation Tables varied widely: BZ-Dwarf (−3.7), BZ-Scrub (−1.1), FL-Fringe (0.6), FL-Basin (2.1), BZ-Fringe (4.1), and FL-Restored (9.9). Root mass accumulation varied across sites (82–739 g m−2 yr−1) and was positively correlated with elevation change. Root volumetric contribution to vertical change (mm yr−1) was lowest in BZ-Dwarf (1.2) and FL-Fringe (2.4), intermediate in FL-Basin (4.1) and BZ-Scrub (4.3), and highest in BZ-Fringe (8.8) and FL-Restored (11.8) sites. Surface growth of turf-forming algae, microbial mats, or accumulation of leaf litter and detritus also made significant contributions to vertical accretion. Turf algal mats in fringe and scrub forests accreted faster (2.7 mm yr−1) than leaf litter mats in basin forests (1.9 mm yr−1), but similarly to microbial mats in dwarf forests (2.1 mm yr−1). Surface accretion of mineral material accounted for only 0.2–3.3% of total vertical change. Those sites with high root contributions and/or rapid growth of living mats exhibited an elevation surplus (+2 to +8 mm yr−1), whereas those with low root inputs and low (or non-living) mat accumulation showed an elevation deficit (−1 to −5.7 mm yr−1). This study indicates that biotic processes of root production and benthic mat formation are important controls on accretion and elevation change in mangrove ecosystems common to the Caribbean Region. Quantification of specific biological controls on elevation provides better insight into how sustainability of such systems might be influenced by global (e.g., climate, atmospheric CO2) and local (e.g., nutrients, disturbance) factors affecting organic matter accumulation, in addition to relative sea-level rise.","DOI":"10.1016/j.ecss.2010.05.001","ISSN":"0272-7714","journalAbbreviation":"Estuarine, Coastal and Shelf Science","author":[{"family":"McKee","given":"Karen L."}],"issued":{"date-parts":[["2011",3,1]]},"accessed":{"date-parts":[["2014",5,15]]}}}],"schema":"https://github.com/citation-style-language/schema/raw/master/csl-citation.json"} </w:instrText>
      </w:r>
      <w:r w:rsidR="001304BF">
        <w:fldChar w:fldCharType="separate"/>
      </w:r>
      <w:r w:rsidR="001304BF" w:rsidRPr="001304BF">
        <w:rPr>
          <w:rFonts w:ascii="Calibri" w:hAnsi="Calibri"/>
        </w:rPr>
        <w:t>(Cahoon and Lynch 1997; Donoghue 2011; McKee 2011)</w:t>
      </w:r>
      <w:r w:rsidR="001304BF">
        <w:fldChar w:fldCharType="end"/>
      </w:r>
      <w:r>
        <w:t xml:space="preserve">. This is lower than the rates of 7 mm/yr and 3.3 mm/yr previously applied in the </w:t>
      </w:r>
      <w:r w:rsidR="00FC5A07">
        <w:t>gulf;</w:t>
      </w:r>
      <w:r>
        <w:t xml:space="preserve"> however, it is more appropriate since SLAMM tracks elevation change.</w:t>
      </w:r>
      <w:r w:rsidR="002238F3">
        <w:t xml:space="preserve"> </w:t>
      </w:r>
    </w:p>
    <w:p w:rsidR="00B75448" w:rsidRDefault="00B75448" w:rsidP="00D52681">
      <w:pPr>
        <w:pStyle w:val="ListParagraph"/>
        <w:ind w:left="0"/>
      </w:pPr>
    </w:p>
    <w:p w:rsidR="0045173C" w:rsidRDefault="00B75448" w:rsidP="00B75448">
      <w:pPr>
        <w:pStyle w:val="ListParagraph"/>
        <w:ind w:left="0"/>
      </w:pPr>
      <w:r>
        <w:t>R</w:t>
      </w:r>
      <w:r w:rsidR="002238F3">
        <w:t xml:space="preserve">egarding mangrove distribution, we will model mangroves in Florida up to </w:t>
      </w:r>
      <w:r w:rsidR="00391048">
        <w:t xml:space="preserve">Tampa Bay based on previous SLAMM applications and </w:t>
      </w:r>
      <w:r w:rsidR="00EB1252">
        <w:t xml:space="preserve">the findings of Osland and coworkers </w:t>
      </w:r>
      <w:r w:rsidR="00EB1252" w:rsidRPr="00EB1252">
        <w:rPr>
          <w:rFonts w:ascii="Calibri" w:hAnsi="Calibri"/>
        </w:rPr>
        <w:t>(2013)</w:t>
      </w:r>
      <w:r w:rsidR="002238F3">
        <w:t xml:space="preserve">. </w:t>
      </w:r>
      <w:r w:rsidR="00391048">
        <w:t xml:space="preserve">  When the SLAMM model finds adequate mangrove coverage in a site, it designates that site as “tropical” and all wetland to wetland or dry</w:t>
      </w:r>
      <w:r w:rsidR="00FC5A07">
        <w:t xml:space="preserve"> </w:t>
      </w:r>
      <w:r w:rsidR="00391048">
        <w:t xml:space="preserve">land to wetland conversions become mangroves.  Therefore, mangroves tend to dominate these sites under conditions of SLR.  </w:t>
      </w:r>
      <w:r w:rsidR="00623BD5">
        <w:t>In Florida, n</w:t>
      </w:r>
      <w:r w:rsidR="00391048">
        <w:t>orth of the Tampa Bay study area, previous SLAMM applications were not designated as “tropical.”  It is certainly possible that mangroves will continue to migrate further north in the next 85 years and this is not represented by these simulations.  The northern boundary of mangrove habitat tends to be driven by the “hard freeze” line and air temperature is not a driving variable within SLAMM applications.  Furthermore, the boundary of mangrove habitat is patchy and uncertain and can be variable from year to year.</w:t>
      </w:r>
      <w:r w:rsidR="00623BD5">
        <w:t xml:space="preserve">  No mangrove expansions in Texas, Louisiana, MS, or AL are predicted by this modeling exercise, either, consistent with previous applications of SLAMM in those states.</w:t>
      </w:r>
    </w:p>
    <w:p w:rsidR="00FA7925" w:rsidRPr="0045173C" w:rsidRDefault="00FA7925" w:rsidP="002238F3">
      <w:pPr>
        <w:pStyle w:val="ListParagraph"/>
        <w:ind w:left="0" w:firstLine="720"/>
      </w:pPr>
    </w:p>
    <w:p w:rsidR="00FA7925" w:rsidRDefault="00FA7925" w:rsidP="00FA7925">
      <w:pPr>
        <w:pStyle w:val="ListParagraph"/>
        <w:ind w:left="0"/>
        <w:rPr>
          <w:u w:val="single"/>
        </w:rPr>
      </w:pPr>
      <w:r w:rsidRPr="002238F3">
        <w:rPr>
          <w:u w:val="single"/>
        </w:rPr>
        <w:t xml:space="preserve">Tidal </w:t>
      </w:r>
      <w:r>
        <w:rPr>
          <w:u w:val="single"/>
        </w:rPr>
        <w:t xml:space="preserve">and Inland </w:t>
      </w:r>
      <w:r w:rsidRPr="002238F3">
        <w:rPr>
          <w:u w:val="single"/>
        </w:rPr>
        <w:t>Fresh Marsh</w:t>
      </w:r>
    </w:p>
    <w:p w:rsidR="00B75448" w:rsidRDefault="00B75448" w:rsidP="00FA7925">
      <w:pPr>
        <w:pStyle w:val="ListParagraph"/>
        <w:ind w:left="0"/>
        <w:rPr>
          <w:u w:val="single"/>
        </w:rPr>
      </w:pPr>
    </w:p>
    <w:p w:rsidR="00FA7925" w:rsidRPr="002238F3" w:rsidRDefault="00FA7925" w:rsidP="00FA7925">
      <w:pPr>
        <w:pStyle w:val="ListParagraph"/>
        <w:ind w:left="0"/>
      </w:pPr>
      <w:r>
        <w:t xml:space="preserve">A gap analysis will be used to apply accretion rates to unmodeled areas: The values applied to adjacent areas will be extrapolated based on site characteristics and professional judgment. </w:t>
      </w:r>
    </w:p>
    <w:p w:rsidR="00BD6887" w:rsidRDefault="00BD6887" w:rsidP="00D52681">
      <w:pPr>
        <w:pStyle w:val="ListParagraph"/>
        <w:ind w:left="0"/>
      </w:pPr>
    </w:p>
    <w:p w:rsidR="00BD6887" w:rsidRDefault="00623BD5" w:rsidP="00D52681">
      <w:pPr>
        <w:pStyle w:val="ListParagraph"/>
        <w:ind w:left="0"/>
        <w:rPr>
          <w:u w:val="single"/>
        </w:rPr>
      </w:pPr>
      <w:r>
        <w:rPr>
          <w:u w:val="single"/>
        </w:rPr>
        <w:t xml:space="preserve">Swamp and </w:t>
      </w:r>
      <w:r w:rsidR="00BD6887" w:rsidRPr="00BD6887">
        <w:rPr>
          <w:u w:val="single"/>
        </w:rPr>
        <w:t>Tidal Swamp</w:t>
      </w:r>
    </w:p>
    <w:p w:rsidR="00B75448" w:rsidRPr="00BD6887" w:rsidRDefault="00B75448" w:rsidP="00D52681">
      <w:pPr>
        <w:pStyle w:val="ListParagraph"/>
        <w:ind w:left="0"/>
        <w:rPr>
          <w:u w:val="single"/>
        </w:rPr>
      </w:pPr>
    </w:p>
    <w:p w:rsidR="00BD6887" w:rsidRDefault="00BD6887" w:rsidP="00D52681">
      <w:pPr>
        <w:pStyle w:val="ListParagraph"/>
        <w:ind w:left="0"/>
      </w:pPr>
      <w:r>
        <w:t xml:space="preserve">For all previous Gulf SLAMM analyses, excluding the Atchafalaya Basin, </w:t>
      </w:r>
      <w:r w:rsidR="00BF031D">
        <w:t xml:space="preserve">swamp and </w:t>
      </w:r>
      <w:r>
        <w:t xml:space="preserve">tidal swamp accretion </w:t>
      </w:r>
      <w:r w:rsidR="00BF031D">
        <w:t>rates were</w:t>
      </w:r>
      <w:r>
        <w:t xml:space="preserve"> set to </w:t>
      </w:r>
      <w:r w:rsidR="00BF031D">
        <w:t xml:space="preserve">0.3 and </w:t>
      </w:r>
      <w:r>
        <w:t>1.1 mm/yr</w:t>
      </w:r>
      <w:r w:rsidR="00BF031D">
        <w:t>, respectively</w:t>
      </w:r>
      <w:r>
        <w:t xml:space="preserve">. </w:t>
      </w:r>
      <w:r w:rsidR="00BF031D">
        <w:t>Due to a lack of data to determine more appropriate site-specific rates, and to maintain consistency with previous model applications, we will also apply these rates to</w:t>
      </w:r>
      <w:r>
        <w:t xml:space="preserve"> gap areas</w:t>
      </w:r>
      <w:r w:rsidR="0045173C">
        <w:t>.</w:t>
      </w:r>
    </w:p>
    <w:p w:rsidR="001304BF" w:rsidRDefault="001304BF" w:rsidP="001304BF">
      <w:pPr>
        <w:pStyle w:val="Bibliography"/>
        <w:rPr>
          <w:b/>
        </w:rPr>
      </w:pPr>
      <w:r>
        <w:rPr>
          <w:b/>
        </w:rPr>
        <w:t>References</w:t>
      </w:r>
    </w:p>
    <w:p w:rsidR="001304BF" w:rsidRPr="001304BF" w:rsidRDefault="001304BF" w:rsidP="001304BF"/>
    <w:p w:rsidR="001304BF" w:rsidRPr="001304BF" w:rsidRDefault="001304BF" w:rsidP="001304BF">
      <w:pPr>
        <w:pStyle w:val="Bibliography"/>
        <w:rPr>
          <w:rFonts w:ascii="Calibri" w:hAnsi="Calibri"/>
        </w:rPr>
      </w:pPr>
      <w:r>
        <w:fldChar w:fldCharType="begin"/>
      </w:r>
      <w:r>
        <w:instrText xml:space="preserve"> ADDIN ZOTERO_BIBL {"custom":[]} CSL_BIBLIOGRAPHY </w:instrText>
      </w:r>
      <w:r>
        <w:fldChar w:fldCharType="separate"/>
      </w:r>
      <w:r w:rsidRPr="001304BF">
        <w:rPr>
          <w:rFonts w:ascii="Calibri" w:hAnsi="Calibri"/>
        </w:rPr>
        <w:t xml:space="preserve">Cahoon, D. R., and Lynch, J. C. (1997). “Vertical accretion and shallow subsidence in a mangrove forest of southwestern Florida, USA.” </w:t>
      </w:r>
      <w:r w:rsidRPr="001304BF">
        <w:rPr>
          <w:rFonts w:ascii="Calibri" w:hAnsi="Calibri"/>
          <w:i/>
          <w:iCs/>
        </w:rPr>
        <w:t>Mangroves and Salt Marshes</w:t>
      </w:r>
      <w:r w:rsidRPr="001304BF">
        <w:rPr>
          <w:rFonts w:ascii="Calibri" w:hAnsi="Calibri"/>
        </w:rPr>
        <w:t>, 1(3), 173–186.</w:t>
      </w:r>
    </w:p>
    <w:p w:rsidR="001304BF" w:rsidRPr="001304BF" w:rsidRDefault="001304BF" w:rsidP="001304BF">
      <w:pPr>
        <w:pStyle w:val="Bibliography"/>
        <w:rPr>
          <w:rFonts w:ascii="Calibri" w:hAnsi="Calibri"/>
        </w:rPr>
      </w:pPr>
      <w:r w:rsidRPr="001304BF">
        <w:rPr>
          <w:rFonts w:ascii="Calibri" w:hAnsi="Calibri"/>
        </w:rPr>
        <w:t xml:space="preserve">Callaway, J. C., DeLaune, R. D., and Patrick, Jr., W. H. (1997). “Sediment Accretion Rates from Four Coastal Wetlands along the Gulf of Mexico.” </w:t>
      </w:r>
      <w:r w:rsidRPr="001304BF">
        <w:rPr>
          <w:rFonts w:ascii="Calibri" w:hAnsi="Calibri"/>
          <w:i/>
          <w:iCs/>
        </w:rPr>
        <w:t>Journal of Coastal Research</w:t>
      </w:r>
      <w:r w:rsidRPr="001304BF">
        <w:rPr>
          <w:rFonts w:ascii="Calibri" w:hAnsi="Calibri"/>
        </w:rPr>
        <w:t>, 13(1), 181–191.</w:t>
      </w:r>
    </w:p>
    <w:p w:rsidR="001304BF" w:rsidRPr="001304BF" w:rsidRDefault="001304BF" w:rsidP="001304BF">
      <w:pPr>
        <w:pStyle w:val="Bibliography"/>
        <w:rPr>
          <w:rFonts w:ascii="Calibri" w:hAnsi="Calibri"/>
        </w:rPr>
      </w:pPr>
      <w:r w:rsidRPr="001304BF">
        <w:rPr>
          <w:rFonts w:ascii="Calibri" w:hAnsi="Calibri"/>
        </w:rPr>
        <w:t xml:space="preserve">DeLaune, R. D., Whitcomb, J. H., Patrick, W. H., Pardue, J. H., and Pezeshki, S. R. (1989). “Accretion and canal impacts in a rapidly subsiding wetland. I. 137Cs and210Pb techniques.” </w:t>
      </w:r>
      <w:r w:rsidRPr="001304BF">
        <w:rPr>
          <w:rFonts w:ascii="Calibri" w:hAnsi="Calibri"/>
          <w:i/>
          <w:iCs/>
        </w:rPr>
        <w:t>Estuaries</w:t>
      </w:r>
      <w:r w:rsidRPr="001304BF">
        <w:rPr>
          <w:rFonts w:ascii="Calibri" w:hAnsi="Calibri"/>
        </w:rPr>
        <w:t>, 12(4), 247–259.</w:t>
      </w:r>
    </w:p>
    <w:p w:rsidR="001304BF" w:rsidRPr="001304BF" w:rsidRDefault="001304BF" w:rsidP="001304BF">
      <w:pPr>
        <w:pStyle w:val="Bibliography"/>
        <w:rPr>
          <w:rFonts w:ascii="Calibri" w:hAnsi="Calibri"/>
        </w:rPr>
      </w:pPr>
      <w:r w:rsidRPr="001304BF">
        <w:rPr>
          <w:rFonts w:ascii="Calibri" w:hAnsi="Calibri"/>
        </w:rPr>
        <w:t xml:space="preserve">Donoghue, J. (2011). </w:t>
      </w:r>
      <w:r>
        <w:rPr>
          <w:rFonts w:ascii="Calibri" w:hAnsi="Calibri"/>
        </w:rPr>
        <w:t xml:space="preserve">Personal Communication, </w:t>
      </w:r>
      <w:r w:rsidRPr="001304BF">
        <w:rPr>
          <w:rFonts w:ascii="Calibri" w:hAnsi="Calibri"/>
        </w:rPr>
        <w:t>“SET question.”</w:t>
      </w:r>
    </w:p>
    <w:p w:rsidR="001304BF" w:rsidRPr="001304BF" w:rsidRDefault="001304BF" w:rsidP="001304BF">
      <w:pPr>
        <w:pStyle w:val="Bibliography"/>
        <w:rPr>
          <w:rFonts w:ascii="Calibri" w:hAnsi="Calibri"/>
        </w:rPr>
      </w:pPr>
      <w:r w:rsidRPr="001304BF">
        <w:rPr>
          <w:rFonts w:ascii="Calibri" w:hAnsi="Calibri"/>
        </w:rPr>
        <w:t xml:space="preserve">Glick, P., Clough, J., Polaczyk, A., Couvillion, B., and Nunley, B. (2013). “Potential Effects of Sea-Level Rise on Coastal Wetlands in Southeastern Louisiana.” </w:t>
      </w:r>
      <w:r w:rsidRPr="001304BF">
        <w:rPr>
          <w:rFonts w:ascii="Calibri" w:hAnsi="Calibri"/>
          <w:i/>
          <w:iCs/>
        </w:rPr>
        <w:t>Journal of Coastal Research</w:t>
      </w:r>
      <w:r w:rsidRPr="001304BF">
        <w:rPr>
          <w:rFonts w:ascii="Calibri" w:hAnsi="Calibri"/>
        </w:rPr>
        <w:t>, Understanding and Predicting Change in the Coastal Ecosystems of the Northern Gulf of Mexico, Special Issue No. 63, 211–233.</w:t>
      </w:r>
    </w:p>
    <w:p w:rsidR="001304BF" w:rsidRPr="001304BF" w:rsidRDefault="001304BF" w:rsidP="001304BF">
      <w:pPr>
        <w:pStyle w:val="Bibliography"/>
        <w:rPr>
          <w:rFonts w:ascii="Calibri" w:hAnsi="Calibri"/>
        </w:rPr>
      </w:pPr>
      <w:r w:rsidRPr="001304BF">
        <w:rPr>
          <w:rFonts w:ascii="Calibri" w:hAnsi="Calibri"/>
        </w:rPr>
        <w:t xml:space="preserve">McKee, K. L. (2011). “Biophysical controls on accretion and elevation change in Caribbean mangrove ecosystems.” </w:t>
      </w:r>
      <w:r w:rsidRPr="001304BF">
        <w:rPr>
          <w:rFonts w:ascii="Calibri" w:hAnsi="Calibri"/>
          <w:i/>
          <w:iCs/>
        </w:rPr>
        <w:t>Estuarine, Coastal and Shelf Science</w:t>
      </w:r>
      <w:r w:rsidRPr="001304BF">
        <w:rPr>
          <w:rFonts w:ascii="Calibri" w:hAnsi="Calibri"/>
        </w:rPr>
        <w:t>, 91(4), 475–483.</w:t>
      </w:r>
    </w:p>
    <w:p w:rsidR="001304BF" w:rsidRPr="001304BF" w:rsidRDefault="001304BF" w:rsidP="001304BF">
      <w:pPr>
        <w:pStyle w:val="Bibliography"/>
        <w:rPr>
          <w:rFonts w:ascii="Calibri" w:hAnsi="Calibri"/>
        </w:rPr>
      </w:pPr>
      <w:r w:rsidRPr="001304BF">
        <w:rPr>
          <w:rFonts w:ascii="Calibri" w:hAnsi="Calibri"/>
        </w:rPr>
        <w:t xml:space="preserve">Nyman, J. A., DeLaune, R. D., Roberts, H. H., and Patrick Jr, W. H. (1993). “Relationship between vegetation and soil formation in a rapidly submerging coastal marsh.” </w:t>
      </w:r>
      <w:r w:rsidRPr="001304BF">
        <w:rPr>
          <w:rFonts w:ascii="Calibri" w:hAnsi="Calibri"/>
          <w:i/>
          <w:iCs/>
        </w:rPr>
        <w:t>Marine ecology progress series. Oldendorf</w:t>
      </w:r>
      <w:r w:rsidRPr="001304BF">
        <w:rPr>
          <w:rFonts w:ascii="Calibri" w:hAnsi="Calibri"/>
        </w:rPr>
        <w:t>, 96(3), 269–279.</w:t>
      </w:r>
    </w:p>
    <w:p w:rsidR="001304BF" w:rsidRPr="001304BF" w:rsidRDefault="001304BF" w:rsidP="001304BF">
      <w:pPr>
        <w:pStyle w:val="Bibliography"/>
        <w:rPr>
          <w:rFonts w:ascii="Calibri" w:hAnsi="Calibri"/>
        </w:rPr>
      </w:pPr>
      <w:r w:rsidRPr="00EB1252">
        <w:rPr>
          <w:rFonts w:ascii="Calibri" w:hAnsi="Calibri"/>
        </w:rPr>
        <w:t xml:space="preserve">Osland, M. J., Enwright, N., Day, R. H., and Doyle, T. W. (2013). “Winter climate change and coastal wetland foundation species: salt marshes vs. mangrove forests in the southeastern United States.” </w:t>
      </w:r>
      <w:r w:rsidRPr="00EB1252">
        <w:rPr>
          <w:rFonts w:ascii="Calibri" w:hAnsi="Calibri"/>
          <w:i/>
          <w:iCs/>
        </w:rPr>
        <w:t>Global change biology</w:t>
      </w:r>
      <w:r w:rsidRPr="00EB1252">
        <w:rPr>
          <w:rFonts w:ascii="Calibri" w:hAnsi="Calibri"/>
        </w:rPr>
        <w:t>, 19(5), 1482–1494.</w:t>
      </w:r>
    </w:p>
    <w:p w:rsidR="001304BF" w:rsidRPr="001304BF" w:rsidRDefault="001304BF" w:rsidP="001304BF">
      <w:pPr>
        <w:pStyle w:val="Bibliography"/>
        <w:rPr>
          <w:rFonts w:ascii="Calibri" w:hAnsi="Calibri"/>
        </w:rPr>
      </w:pPr>
      <w:r w:rsidRPr="001304BF">
        <w:rPr>
          <w:rFonts w:ascii="Calibri" w:hAnsi="Calibri"/>
        </w:rPr>
        <w:t xml:space="preserve">Smith, C. G., Osterman, L. E., and Poore, R. Z. (2013). “An Examination of Historical Inorganic Sedimentation and Organic Matter Accumulation in Several Marsh Types within the Mobile Bay and Mobile-Tensaw River Delta Region.” </w:t>
      </w:r>
      <w:r w:rsidRPr="001304BF">
        <w:rPr>
          <w:rFonts w:ascii="Calibri" w:hAnsi="Calibri"/>
          <w:i/>
          <w:iCs/>
        </w:rPr>
        <w:t>Journal of Coastal Research</w:t>
      </w:r>
      <w:r w:rsidRPr="001304BF">
        <w:rPr>
          <w:rFonts w:ascii="Calibri" w:hAnsi="Calibri"/>
        </w:rPr>
        <w:t>, 63(sp1), 68–83.</w:t>
      </w:r>
    </w:p>
    <w:p w:rsidR="001304BF" w:rsidRPr="001304BF" w:rsidRDefault="001304BF" w:rsidP="001304BF">
      <w:pPr>
        <w:pStyle w:val="Bibliography"/>
        <w:rPr>
          <w:rFonts w:ascii="Calibri" w:hAnsi="Calibri"/>
        </w:rPr>
      </w:pPr>
      <w:r w:rsidRPr="001304BF">
        <w:rPr>
          <w:rFonts w:ascii="Calibri" w:hAnsi="Calibri"/>
        </w:rPr>
        <w:t xml:space="preserve">White, W. A., Morton, R. A., and Holmes, C. W. (2002). “A comparison of factors controlling sedimentation rates and wetland loss in fluvial-deltaic systems, Texas Gulf coast.” </w:t>
      </w:r>
      <w:r w:rsidRPr="001304BF">
        <w:rPr>
          <w:rFonts w:ascii="Calibri" w:hAnsi="Calibri"/>
          <w:i/>
          <w:iCs/>
        </w:rPr>
        <w:t>Geomorphology</w:t>
      </w:r>
      <w:r w:rsidRPr="001304BF">
        <w:rPr>
          <w:rFonts w:ascii="Calibri" w:hAnsi="Calibri"/>
        </w:rPr>
        <w:t>, 44(1-2), 47–66.</w:t>
      </w:r>
    </w:p>
    <w:p w:rsidR="00BD6887" w:rsidRPr="00BD6887" w:rsidRDefault="001304BF" w:rsidP="00D52681">
      <w:pPr>
        <w:pStyle w:val="ListParagraph"/>
        <w:ind w:left="0"/>
      </w:pPr>
      <w:r>
        <w:fldChar w:fldCharType="end"/>
      </w:r>
      <w:bookmarkStart w:id="3" w:name="_GoBack"/>
      <w:bookmarkEnd w:id="3"/>
    </w:p>
    <w:sectPr w:rsidR="00BD6887" w:rsidRPr="00BD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516C"/>
    <w:multiLevelType w:val="hybridMultilevel"/>
    <w:tmpl w:val="3AB0BCD0"/>
    <w:lvl w:ilvl="0" w:tplc="7BAAB9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E7862"/>
    <w:multiLevelType w:val="hybridMultilevel"/>
    <w:tmpl w:val="214A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C636B"/>
    <w:multiLevelType w:val="hybridMultilevel"/>
    <w:tmpl w:val="9E9E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705A1"/>
    <w:multiLevelType w:val="hybridMultilevel"/>
    <w:tmpl w:val="486A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30"/>
    <w:rsid w:val="000E293E"/>
    <w:rsid w:val="00106997"/>
    <w:rsid w:val="00110830"/>
    <w:rsid w:val="001304BF"/>
    <w:rsid w:val="00141FDB"/>
    <w:rsid w:val="001C4C59"/>
    <w:rsid w:val="001F1AC4"/>
    <w:rsid w:val="002238F3"/>
    <w:rsid w:val="00262D93"/>
    <w:rsid w:val="002849F1"/>
    <w:rsid w:val="002A06F3"/>
    <w:rsid w:val="002F64C7"/>
    <w:rsid w:val="00311921"/>
    <w:rsid w:val="00364E36"/>
    <w:rsid w:val="00391048"/>
    <w:rsid w:val="00395BBA"/>
    <w:rsid w:val="00397B0A"/>
    <w:rsid w:val="003D7C47"/>
    <w:rsid w:val="00431DB5"/>
    <w:rsid w:val="004437A9"/>
    <w:rsid w:val="0045173C"/>
    <w:rsid w:val="0049372D"/>
    <w:rsid w:val="004D3415"/>
    <w:rsid w:val="004D5756"/>
    <w:rsid w:val="004D7CE3"/>
    <w:rsid w:val="005A5964"/>
    <w:rsid w:val="005C2F23"/>
    <w:rsid w:val="00623BD5"/>
    <w:rsid w:val="0064740E"/>
    <w:rsid w:val="0067626F"/>
    <w:rsid w:val="006860DF"/>
    <w:rsid w:val="006924F5"/>
    <w:rsid w:val="00712EA6"/>
    <w:rsid w:val="00716762"/>
    <w:rsid w:val="00724698"/>
    <w:rsid w:val="007404A2"/>
    <w:rsid w:val="0076726E"/>
    <w:rsid w:val="007931CF"/>
    <w:rsid w:val="007D1B0E"/>
    <w:rsid w:val="007E2E71"/>
    <w:rsid w:val="00801C03"/>
    <w:rsid w:val="008545A9"/>
    <w:rsid w:val="008C4612"/>
    <w:rsid w:val="008F79A8"/>
    <w:rsid w:val="00A14114"/>
    <w:rsid w:val="00A579D3"/>
    <w:rsid w:val="00AF6AE1"/>
    <w:rsid w:val="00B04107"/>
    <w:rsid w:val="00B21612"/>
    <w:rsid w:val="00B326DE"/>
    <w:rsid w:val="00B350B3"/>
    <w:rsid w:val="00B75448"/>
    <w:rsid w:val="00B97DAF"/>
    <w:rsid w:val="00BD6887"/>
    <w:rsid w:val="00BF031D"/>
    <w:rsid w:val="00BF0F7D"/>
    <w:rsid w:val="00BF6FCB"/>
    <w:rsid w:val="00C64A5D"/>
    <w:rsid w:val="00C9228B"/>
    <w:rsid w:val="00CA1118"/>
    <w:rsid w:val="00CB5168"/>
    <w:rsid w:val="00CD04B4"/>
    <w:rsid w:val="00D01653"/>
    <w:rsid w:val="00D52681"/>
    <w:rsid w:val="00DF3B78"/>
    <w:rsid w:val="00DF6FC5"/>
    <w:rsid w:val="00DF73A5"/>
    <w:rsid w:val="00E82D7A"/>
    <w:rsid w:val="00EA1DEF"/>
    <w:rsid w:val="00EB1252"/>
    <w:rsid w:val="00F05A61"/>
    <w:rsid w:val="00F33D90"/>
    <w:rsid w:val="00F341A9"/>
    <w:rsid w:val="00FA7925"/>
    <w:rsid w:val="00FC041D"/>
    <w:rsid w:val="00FC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03"/>
    <w:pPr>
      <w:ind w:left="720"/>
      <w:contextualSpacing/>
    </w:pPr>
  </w:style>
  <w:style w:type="paragraph" w:styleId="Bibliography">
    <w:name w:val="Bibliography"/>
    <w:basedOn w:val="Normal"/>
    <w:next w:val="Normal"/>
    <w:uiPriority w:val="37"/>
    <w:unhideWhenUsed/>
    <w:rsid w:val="00EB1252"/>
    <w:pPr>
      <w:spacing w:after="0" w:line="240" w:lineRule="auto"/>
      <w:ind w:left="720" w:hanging="720"/>
    </w:pPr>
  </w:style>
  <w:style w:type="paragraph" w:styleId="Quote">
    <w:name w:val="Quote"/>
    <w:basedOn w:val="Normal"/>
    <w:next w:val="Normal"/>
    <w:link w:val="QuoteChar"/>
    <w:uiPriority w:val="29"/>
    <w:qFormat/>
    <w:rsid w:val="0067626F"/>
    <w:rPr>
      <w:i/>
      <w:iCs/>
      <w:color w:val="000000" w:themeColor="text1"/>
    </w:rPr>
  </w:style>
  <w:style w:type="character" w:customStyle="1" w:styleId="QuoteChar">
    <w:name w:val="Quote Char"/>
    <w:basedOn w:val="DefaultParagraphFont"/>
    <w:link w:val="Quote"/>
    <w:uiPriority w:val="29"/>
    <w:rsid w:val="0067626F"/>
    <w:rPr>
      <w:i/>
      <w:iCs/>
      <w:color w:val="000000" w:themeColor="text1"/>
    </w:rPr>
  </w:style>
  <w:style w:type="paragraph" w:styleId="BalloonText">
    <w:name w:val="Balloon Text"/>
    <w:basedOn w:val="Normal"/>
    <w:link w:val="BalloonTextChar"/>
    <w:uiPriority w:val="99"/>
    <w:semiHidden/>
    <w:unhideWhenUsed/>
    <w:rsid w:val="001F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C4"/>
    <w:rPr>
      <w:rFonts w:ascii="Tahoma" w:hAnsi="Tahoma" w:cs="Tahoma"/>
      <w:sz w:val="16"/>
      <w:szCs w:val="16"/>
    </w:rPr>
  </w:style>
  <w:style w:type="paragraph" w:styleId="Caption">
    <w:name w:val="caption"/>
    <w:basedOn w:val="Normal"/>
    <w:next w:val="Normal"/>
    <w:uiPriority w:val="35"/>
    <w:unhideWhenUsed/>
    <w:qFormat/>
    <w:rsid w:val="000E293E"/>
    <w:pPr>
      <w:spacing w:line="240" w:lineRule="auto"/>
    </w:pPr>
    <w:rPr>
      <w:b/>
      <w:bCs/>
      <w:szCs w:val="18"/>
    </w:rPr>
  </w:style>
  <w:style w:type="table" w:styleId="TableGrid">
    <w:name w:val="Table Grid"/>
    <w:basedOn w:val="TableNormal"/>
    <w:uiPriority w:val="59"/>
    <w:rsid w:val="00F34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03"/>
    <w:pPr>
      <w:ind w:left="720"/>
      <w:contextualSpacing/>
    </w:pPr>
  </w:style>
  <w:style w:type="paragraph" w:styleId="Bibliography">
    <w:name w:val="Bibliography"/>
    <w:basedOn w:val="Normal"/>
    <w:next w:val="Normal"/>
    <w:uiPriority w:val="37"/>
    <w:unhideWhenUsed/>
    <w:rsid w:val="00EB1252"/>
    <w:pPr>
      <w:spacing w:after="0" w:line="240" w:lineRule="auto"/>
      <w:ind w:left="720" w:hanging="720"/>
    </w:pPr>
  </w:style>
  <w:style w:type="paragraph" w:styleId="Quote">
    <w:name w:val="Quote"/>
    <w:basedOn w:val="Normal"/>
    <w:next w:val="Normal"/>
    <w:link w:val="QuoteChar"/>
    <w:uiPriority w:val="29"/>
    <w:qFormat/>
    <w:rsid w:val="0067626F"/>
    <w:rPr>
      <w:i/>
      <w:iCs/>
      <w:color w:val="000000" w:themeColor="text1"/>
    </w:rPr>
  </w:style>
  <w:style w:type="character" w:customStyle="1" w:styleId="QuoteChar">
    <w:name w:val="Quote Char"/>
    <w:basedOn w:val="DefaultParagraphFont"/>
    <w:link w:val="Quote"/>
    <w:uiPriority w:val="29"/>
    <w:rsid w:val="0067626F"/>
    <w:rPr>
      <w:i/>
      <w:iCs/>
      <w:color w:val="000000" w:themeColor="text1"/>
    </w:rPr>
  </w:style>
  <w:style w:type="paragraph" w:styleId="BalloonText">
    <w:name w:val="Balloon Text"/>
    <w:basedOn w:val="Normal"/>
    <w:link w:val="BalloonTextChar"/>
    <w:uiPriority w:val="99"/>
    <w:semiHidden/>
    <w:unhideWhenUsed/>
    <w:rsid w:val="001F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C4"/>
    <w:rPr>
      <w:rFonts w:ascii="Tahoma" w:hAnsi="Tahoma" w:cs="Tahoma"/>
      <w:sz w:val="16"/>
      <w:szCs w:val="16"/>
    </w:rPr>
  </w:style>
  <w:style w:type="paragraph" w:styleId="Caption">
    <w:name w:val="caption"/>
    <w:basedOn w:val="Normal"/>
    <w:next w:val="Normal"/>
    <w:uiPriority w:val="35"/>
    <w:unhideWhenUsed/>
    <w:qFormat/>
    <w:rsid w:val="000E293E"/>
    <w:pPr>
      <w:spacing w:line="240" w:lineRule="auto"/>
    </w:pPr>
    <w:rPr>
      <w:b/>
      <w:bCs/>
      <w:szCs w:val="18"/>
    </w:rPr>
  </w:style>
  <w:style w:type="table" w:styleId="TableGrid">
    <w:name w:val="Table Grid"/>
    <w:basedOn w:val="TableNormal"/>
    <w:uiPriority w:val="59"/>
    <w:rsid w:val="00F34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1\Server%20Share\SLAMM\GCPLCC\Data\GoM%20Accretion%20Modeling\MEM3\Copy%20of%20Digitizing_MEM3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9928662763308"/>
          <c:y val="6.5411209192071329E-2"/>
          <c:w val="0.779882226260179"/>
          <c:h val="0.73932123701928554"/>
        </c:manualLayout>
      </c:layout>
      <c:scatterChart>
        <c:scatterStyle val="lineMarker"/>
        <c:varyColors val="0"/>
        <c:ser>
          <c:idx val="4"/>
          <c:order val="0"/>
          <c:spPr>
            <a:ln w="28575">
              <a:solidFill>
                <a:schemeClr val="tx1"/>
              </a:solidFill>
              <a:prstDash val="solid"/>
            </a:ln>
          </c:spPr>
          <c:marker>
            <c:symbol val="none"/>
          </c:marker>
          <c:xVal>
            <c:numRef>
              <c:f>GCPLLC!$E$22:$E$98</c:f>
              <c:numCache>
                <c:formatCode>General</c:formatCode>
                <c:ptCount val="77"/>
                <c:pt idx="0">
                  <c:v>0.64500000000000002</c:v>
                </c:pt>
                <c:pt idx="1">
                  <c:v>0.64400000000000002</c:v>
                </c:pt>
                <c:pt idx="2">
                  <c:v>0.64300000000000013</c:v>
                </c:pt>
                <c:pt idx="3">
                  <c:v>0.6399999999999999</c:v>
                </c:pt>
                <c:pt idx="4">
                  <c:v>0.63900000000000001</c:v>
                </c:pt>
                <c:pt idx="5">
                  <c:v>0.6359999999999999</c:v>
                </c:pt>
                <c:pt idx="6">
                  <c:v>0.63400000000000001</c:v>
                </c:pt>
                <c:pt idx="7">
                  <c:v>0.62999999999999989</c:v>
                </c:pt>
                <c:pt idx="8">
                  <c:v>0.627</c:v>
                </c:pt>
                <c:pt idx="9">
                  <c:v>0.623</c:v>
                </c:pt>
                <c:pt idx="10">
                  <c:v>0.61900000000000011</c:v>
                </c:pt>
                <c:pt idx="11">
                  <c:v>0.61399999999999988</c:v>
                </c:pt>
                <c:pt idx="12">
                  <c:v>0.6100000000000001</c:v>
                </c:pt>
                <c:pt idx="13">
                  <c:v>0.60499999999999998</c:v>
                </c:pt>
                <c:pt idx="14">
                  <c:v>0.6</c:v>
                </c:pt>
                <c:pt idx="15">
                  <c:v>0.59499999999999997</c:v>
                </c:pt>
                <c:pt idx="16">
                  <c:v>0.58899999999999997</c:v>
                </c:pt>
                <c:pt idx="17">
                  <c:v>0.58300000000000007</c:v>
                </c:pt>
                <c:pt idx="18">
                  <c:v>0.57600000000000007</c:v>
                </c:pt>
                <c:pt idx="19">
                  <c:v>0.56999999999999995</c:v>
                </c:pt>
                <c:pt idx="20">
                  <c:v>0.56199999999999994</c:v>
                </c:pt>
                <c:pt idx="21">
                  <c:v>0.55600000000000005</c:v>
                </c:pt>
                <c:pt idx="22">
                  <c:v>0.54799999999999993</c:v>
                </c:pt>
                <c:pt idx="23">
                  <c:v>0.54100000000000004</c:v>
                </c:pt>
                <c:pt idx="24">
                  <c:v>0.53299999999999992</c:v>
                </c:pt>
                <c:pt idx="25">
                  <c:v>0.52399999999999991</c:v>
                </c:pt>
                <c:pt idx="26">
                  <c:v>0.51600000000000001</c:v>
                </c:pt>
                <c:pt idx="27">
                  <c:v>0.50700000000000001</c:v>
                </c:pt>
                <c:pt idx="28">
                  <c:v>0.498</c:v>
                </c:pt>
                <c:pt idx="29">
                  <c:v>0.48900000000000005</c:v>
                </c:pt>
                <c:pt idx="30">
                  <c:v>0.47899999999999993</c:v>
                </c:pt>
                <c:pt idx="31">
                  <c:v>0.46999999999999992</c:v>
                </c:pt>
                <c:pt idx="32">
                  <c:v>0.45899999999999996</c:v>
                </c:pt>
                <c:pt idx="33">
                  <c:v>0.44800000000000006</c:v>
                </c:pt>
                <c:pt idx="34">
                  <c:v>0.43800000000000006</c:v>
                </c:pt>
                <c:pt idx="35">
                  <c:v>0.42800000000000005</c:v>
                </c:pt>
                <c:pt idx="36">
                  <c:v>0.41599999999999993</c:v>
                </c:pt>
                <c:pt idx="37">
                  <c:v>0.40500000000000003</c:v>
                </c:pt>
                <c:pt idx="38">
                  <c:v>0.39299999999999996</c:v>
                </c:pt>
                <c:pt idx="39">
                  <c:v>0.38099999999999995</c:v>
                </c:pt>
                <c:pt idx="40">
                  <c:v>0.36899999999999994</c:v>
                </c:pt>
                <c:pt idx="41">
                  <c:v>0.35599999999999993</c:v>
                </c:pt>
                <c:pt idx="42">
                  <c:v>0.34299999999999997</c:v>
                </c:pt>
                <c:pt idx="43">
                  <c:v>0.33</c:v>
                </c:pt>
                <c:pt idx="44">
                  <c:v>0.317</c:v>
                </c:pt>
                <c:pt idx="45">
                  <c:v>0.3030000000000001</c:v>
                </c:pt>
                <c:pt idx="46">
                  <c:v>0.28900000000000003</c:v>
                </c:pt>
                <c:pt idx="47">
                  <c:v>0.27500000000000002</c:v>
                </c:pt>
                <c:pt idx="48">
                  <c:v>0.25900000000000006</c:v>
                </c:pt>
                <c:pt idx="49">
                  <c:v>0.245</c:v>
                </c:pt>
                <c:pt idx="50">
                  <c:v>0.22899999999999993</c:v>
                </c:pt>
                <c:pt idx="51">
                  <c:v>0.21400000000000005</c:v>
                </c:pt>
                <c:pt idx="52">
                  <c:v>0.19799999999999998</c:v>
                </c:pt>
                <c:pt idx="53">
                  <c:v>0.18099999999999994</c:v>
                </c:pt>
                <c:pt idx="54">
                  <c:v>0.16500000000000001</c:v>
                </c:pt>
                <c:pt idx="55">
                  <c:v>0.14700000000000002</c:v>
                </c:pt>
                <c:pt idx="56">
                  <c:v>0.13</c:v>
                </c:pt>
                <c:pt idx="57">
                  <c:v>0.11200000000000003</c:v>
                </c:pt>
                <c:pt idx="58">
                  <c:v>9.3999999999999917E-2</c:v>
                </c:pt>
                <c:pt idx="59">
                  <c:v>7.4000000000000052E-2</c:v>
                </c:pt>
                <c:pt idx="60">
                  <c:v>5.5E-2</c:v>
                </c:pt>
                <c:pt idx="61">
                  <c:v>3.4000000000000058E-2</c:v>
                </c:pt>
                <c:pt idx="62">
                  <c:v>1.3000000000000114E-2</c:v>
                </c:pt>
                <c:pt idx="63">
                  <c:v>-7.9999999999998302E-3</c:v>
                </c:pt>
                <c:pt idx="64">
                  <c:v>-2.6999999999999885E-2</c:v>
                </c:pt>
                <c:pt idx="65">
                  <c:v>-4.8000000000000112E-2</c:v>
                </c:pt>
                <c:pt idx="66">
                  <c:v>-6.5999999999999948E-2</c:v>
                </c:pt>
                <c:pt idx="67">
                  <c:v>-8.4000000000000061E-2</c:v>
                </c:pt>
                <c:pt idx="68">
                  <c:v>-0.10100000000000023</c:v>
                </c:pt>
                <c:pt idx="69">
                  <c:v>-0.11799999999999983</c:v>
                </c:pt>
                <c:pt idx="70">
                  <c:v>-0.13400000000000006</c:v>
                </c:pt>
                <c:pt idx="71">
                  <c:v>-0.15</c:v>
                </c:pt>
                <c:pt idx="72">
                  <c:v>-0.16599999999999995</c:v>
                </c:pt>
                <c:pt idx="73">
                  <c:v>-0.18199999999999988</c:v>
                </c:pt>
                <c:pt idx="74">
                  <c:v>-0.19800000000000012</c:v>
                </c:pt>
                <c:pt idx="75">
                  <c:v>-0.21400000000000005</c:v>
                </c:pt>
                <c:pt idx="76">
                  <c:v>-0.23099999999999996</c:v>
                </c:pt>
              </c:numCache>
            </c:numRef>
          </c:xVal>
          <c:yVal>
            <c:numRef>
              <c:f>GCPLLC!$G$22:$G$98</c:f>
              <c:numCache>
                <c:formatCode>0.00</c:formatCode>
                <c:ptCount val="77"/>
                <c:pt idx="0">
                  <c:v>7.2727272727272725</c:v>
                </c:pt>
                <c:pt idx="1">
                  <c:v>7.3636363636363713</c:v>
                </c:pt>
                <c:pt idx="2">
                  <c:v>7.2727272727272725</c:v>
                </c:pt>
                <c:pt idx="3">
                  <c:v>7.2727272727272725</c:v>
                </c:pt>
                <c:pt idx="4">
                  <c:v>7.3636363636363713</c:v>
                </c:pt>
                <c:pt idx="5">
                  <c:v>7.2727272727272725</c:v>
                </c:pt>
                <c:pt idx="6">
                  <c:v>7.3636363636363713</c:v>
                </c:pt>
                <c:pt idx="7">
                  <c:v>7.3636363636363589</c:v>
                </c:pt>
                <c:pt idx="8">
                  <c:v>7.3636363636363713</c:v>
                </c:pt>
                <c:pt idx="9">
                  <c:v>7.3636363636363589</c:v>
                </c:pt>
                <c:pt idx="10">
                  <c:v>7.4545454545454568</c:v>
                </c:pt>
                <c:pt idx="11">
                  <c:v>7.4545454545454444</c:v>
                </c:pt>
                <c:pt idx="12">
                  <c:v>7.4545454545454568</c:v>
                </c:pt>
                <c:pt idx="13">
                  <c:v>7.5454545454545432</c:v>
                </c:pt>
                <c:pt idx="14">
                  <c:v>7.6363636363636411</c:v>
                </c:pt>
                <c:pt idx="15">
                  <c:v>7.6363636363636287</c:v>
                </c:pt>
                <c:pt idx="16">
                  <c:v>7.7272727272727275</c:v>
                </c:pt>
                <c:pt idx="17">
                  <c:v>7.7272727272727275</c:v>
                </c:pt>
                <c:pt idx="18">
                  <c:v>7.8181818181818263</c:v>
                </c:pt>
                <c:pt idx="19">
                  <c:v>7.818181818181813</c:v>
                </c:pt>
                <c:pt idx="20">
                  <c:v>7.9090909090909118</c:v>
                </c:pt>
                <c:pt idx="21">
                  <c:v>7.9999999999999973</c:v>
                </c:pt>
                <c:pt idx="22">
                  <c:v>8.0909090909090953</c:v>
                </c:pt>
                <c:pt idx="23">
                  <c:v>8.1818181818181817</c:v>
                </c:pt>
                <c:pt idx="24">
                  <c:v>8.272727272727268</c:v>
                </c:pt>
                <c:pt idx="25">
                  <c:v>8.272727272727268</c:v>
                </c:pt>
                <c:pt idx="26">
                  <c:v>8.3636363636363669</c:v>
                </c:pt>
                <c:pt idx="27">
                  <c:v>8.4545454545454657</c:v>
                </c:pt>
                <c:pt idx="28">
                  <c:v>8.5454545454545379</c:v>
                </c:pt>
                <c:pt idx="29">
                  <c:v>8.6363636363636367</c:v>
                </c:pt>
                <c:pt idx="30">
                  <c:v>8.7272727272727213</c:v>
                </c:pt>
                <c:pt idx="31">
                  <c:v>8.9090909090909065</c:v>
                </c:pt>
                <c:pt idx="32">
                  <c:v>8.9090909090909065</c:v>
                </c:pt>
                <c:pt idx="33">
                  <c:v>9.0000000000000053</c:v>
                </c:pt>
                <c:pt idx="34">
                  <c:v>9.0909090909090917</c:v>
                </c:pt>
                <c:pt idx="35">
                  <c:v>9.1818181818181888</c:v>
                </c:pt>
                <c:pt idx="36">
                  <c:v>9.2727272727272751</c:v>
                </c:pt>
                <c:pt idx="37">
                  <c:v>9.3636363636363615</c:v>
                </c:pt>
                <c:pt idx="38">
                  <c:v>9.4545454545454461</c:v>
                </c:pt>
                <c:pt idx="39">
                  <c:v>9.545454545454545</c:v>
                </c:pt>
                <c:pt idx="40">
                  <c:v>9.6363636363636314</c:v>
                </c:pt>
                <c:pt idx="41">
                  <c:v>9.7272727272727302</c:v>
                </c:pt>
                <c:pt idx="42">
                  <c:v>9.7272727272727302</c:v>
                </c:pt>
                <c:pt idx="43">
                  <c:v>9.8181818181818148</c:v>
                </c:pt>
                <c:pt idx="44">
                  <c:v>10</c:v>
                </c:pt>
                <c:pt idx="45">
                  <c:v>10</c:v>
                </c:pt>
                <c:pt idx="46">
                  <c:v>10.090909090909086</c:v>
                </c:pt>
                <c:pt idx="47">
                  <c:v>10.181818181818185</c:v>
                </c:pt>
                <c:pt idx="48">
                  <c:v>10.181818181818185</c:v>
                </c:pt>
                <c:pt idx="49">
                  <c:v>10.27272727272727</c:v>
                </c:pt>
                <c:pt idx="50">
                  <c:v>10.27272727272727</c:v>
                </c:pt>
                <c:pt idx="51">
                  <c:v>10.363636363636369</c:v>
                </c:pt>
                <c:pt idx="52">
                  <c:v>10.454545454545455</c:v>
                </c:pt>
                <c:pt idx="53">
                  <c:v>10.454545454545455</c:v>
                </c:pt>
                <c:pt idx="54">
                  <c:v>10.545454545454554</c:v>
                </c:pt>
                <c:pt idx="55">
                  <c:v>10.454545454545455</c:v>
                </c:pt>
                <c:pt idx="56">
                  <c:v>10.54545454545454</c:v>
                </c:pt>
                <c:pt idx="57">
                  <c:v>10.454545454545455</c:v>
                </c:pt>
                <c:pt idx="58">
                  <c:v>10.54545454545454</c:v>
                </c:pt>
                <c:pt idx="59">
                  <c:v>10.454545454545455</c:v>
                </c:pt>
                <c:pt idx="60">
                  <c:v>10.363636363636369</c:v>
                </c:pt>
                <c:pt idx="61">
                  <c:v>10.272727272727282</c:v>
                </c:pt>
                <c:pt idx="62">
                  <c:v>10.090909090909099</c:v>
                </c:pt>
                <c:pt idx="63">
                  <c:v>10.000000000000012</c:v>
                </c:pt>
                <c:pt idx="64">
                  <c:v>10.090909090909099</c:v>
                </c:pt>
                <c:pt idx="65">
                  <c:v>10.090909090909086</c:v>
                </c:pt>
                <c:pt idx="66">
                  <c:v>10.363636363636369</c:v>
                </c:pt>
                <c:pt idx="67">
                  <c:v>10.636363636363626</c:v>
                </c:pt>
                <c:pt idx="68">
                  <c:v>11.090909090909081</c:v>
                </c:pt>
                <c:pt idx="69">
                  <c:v>11.545454545454561</c:v>
                </c:pt>
                <c:pt idx="70">
                  <c:v>12.272727272727273</c:v>
                </c:pt>
                <c:pt idx="71">
                  <c:v>12.909090909090899</c:v>
                </c:pt>
                <c:pt idx="72">
                  <c:v>13.727272727272721</c:v>
                </c:pt>
                <c:pt idx="73">
                  <c:v>14.545454545454545</c:v>
                </c:pt>
                <c:pt idx="74">
                  <c:v>15.272727272727257</c:v>
                </c:pt>
                <c:pt idx="75">
                  <c:v>15.999999999999995</c:v>
                </c:pt>
                <c:pt idx="76">
                  <c:v>16.636363636363647</c:v>
                </c:pt>
              </c:numCache>
            </c:numRef>
          </c:yVal>
          <c:smooth val="0"/>
        </c:ser>
        <c:ser>
          <c:idx val="0"/>
          <c:order val="1"/>
          <c:spPr>
            <a:ln>
              <a:noFill/>
            </a:ln>
          </c:spPr>
          <c:marker>
            <c:symbol val="diamond"/>
            <c:size val="5"/>
            <c:spPr>
              <a:solidFill>
                <a:schemeClr val="accent1"/>
              </a:solidFill>
            </c:spPr>
          </c:marker>
          <c:dLbls>
            <c:showLegendKey val="0"/>
            <c:showVal val="1"/>
            <c:showCatName val="0"/>
            <c:showSerName val="0"/>
            <c:showPercent val="0"/>
            <c:showBubbleSize val="0"/>
            <c:showLeaderLines val="0"/>
          </c:dLbls>
          <c:xVal>
            <c:numRef>
              <c:f>'Observed Data'!$AK$7:$AK$31</c:f>
              <c:numCache>
                <c:formatCode>General</c:formatCode>
                <c:ptCount val="25"/>
                <c:pt idx="0">
                  <c:v>0.63162697391510003</c:v>
                </c:pt>
                <c:pt idx="1">
                  <c:v>0.53910276308059701</c:v>
                </c:pt>
                <c:pt idx="2">
                  <c:v>0.46209962139129607</c:v>
                </c:pt>
                <c:pt idx="3">
                  <c:v>0.55135203371047992</c:v>
                </c:pt>
                <c:pt idx="4">
                  <c:v>0.41798318395614603</c:v>
                </c:pt>
                <c:pt idx="5">
                  <c:v>0.53109887999999994</c:v>
                </c:pt>
                <c:pt idx="6">
                  <c:v>0.48035581951141404</c:v>
                </c:pt>
                <c:pt idx="7">
                  <c:v>3.0259768736362498E-2</c:v>
                </c:pt>
                <c:pt idx="8">
                  <c:v>0.30580157346725501</c:v>
                </c:pt>
                <c:pt idx="9">
                  <c:v>8.6444842886925E-2</c:v>
                </c:pt>
                <c:pt idx="10">
                  <c:v>0.435819032859802</c:v>
                </c:pt>
                <c:pt idx="11">
                  <c:v>0.49876958436965896</c:v>
                </c:pt>
                <c:pt idx="12">
                  <c:v>0.56443590230941798</c:v>
                </c:pt>
                <c:pt idx="13">
                  <c:v>0.39065009660720795</c:v>
                </c:pt>
                <c:pt idx="14">
                  <c:v>0.37055981464385995</c:v>
                </c:pt>
                <c:pt idx="15">
                  <c:v>0.37132708999999997</c:v>
                </c:pt>
                <c:pt idx="16">
                  <c:v>0.37210662202835099</c:v>
                </c:pt>
                <c:pt idx="17">
                  <c:v>0.27983745946884198</c:v>
                </c:pt>
                <c:pt idx="18">
                  <c:v>0.40171220912933403</c:v>
                </c:pt>
                <c:pt idx="19">
                  <c:v>7.6018681573867986E-2</c:v>
                </c:pt>
                <c:pt idx="20">
                  <c:v>-6.1800000000000001E-2</c:v>
                </c:pt>
                <c:pt idx="21">
                  <c:v>-6.1800000000000001E-2</c:v>
                </c:pt>
                <c:pt idx="22">
                  <c:v>0.29133931107521099</c:v>
                </c:pt>
                <c:pt idx="23">
                  <c:v>-2.9456981199979804E-2</c:v>
                </c:pt>
                <c:pt idx="24">
                  <c:v>1.3939130377769497E-2</c:v>
                </c:pt>
              </c:numCache>
            </c:numRef>
          </c:xVal>
          <c:yVal>
            <c:numRef>
              <c:f>'Observed Data'!$H$7:$H$31</c:f>
              <c:numCache>
                <c:formatCode>General</c:formatCode>
                <c:ptCount val="25"/>
                <c:pt idx="0">
                  <c:v>7.5</c:v>
                </c:pt>
                <c:pt idx="1">
                  <c:v>9.1999999999999993</c:v>
                </c:pt>
                <c:pt idx="2">
                  <c:v>6.6</c:v>
                </c:pt>
                <c:pt idx="3">
                  <c:v>6.1</c:v>
                </c:pt>
                <c:pt idx="4">
                  <c:v>6.1</c:v>
                </c:pt>
                <c:pt idx="5">
                  <c:v>6.2</c:v>
                </c:pt>
                <c:pt idx="6">
                  <c:v>7.8</c:v>
                </c:pt>
                <c:pt idx="7">
                  <c:v>17.8</c:v>
                </c:pt>
                <c:pt idx="8">
                  <c:v>9.4</c:v>
                </c:pt>
                <c:pt idx="9">
                  <c:v>10.4</c:v>
                </c:pt>
                <c:pt idx="10">
                  <c:v>5.5</c:v>
                </c:pt>
                <c:pt idx="11">
                  <c:v>6.7</c:v>
                </c:pt>
                <c:pt idx="12">
                  <c:v>7.8</c:v>
                </c:pt>
                <c:pt idx="13">
                  <c:v>13.3</c:v>
                </c:pt>
                <c:pt idx="14">
                  <c:v>10.6</c:v>
                </c:pt>
                <c:pt idx="15">
                  <c:v>5.75</c:v>
                </c:pt>
                <c:pt idx="16">
                  <c:v>6.1</c:v>
                </c:pt>
                <c:pt idx="17">
                  <c:v>8</c:v>
                </c:pt>
                <c:pt idx="18">
                  <c:v>7.8</c:v>
                </c:pt>
                <c:pt idx="19">
                  <c:v>9.8000000000000007</c:v>
                </c:pt>
                <c:pt idx="20">
                  <c:v>9.8000000000000007</c:v>
                </c:pt>
                <c:pt idx="21">
                  <c:v>12.8</c:v>
                </c:pt>
                <c:pt idx="22">
                  <c:v>7.5</c:v>
                </c:pt>
                <c:pt idx="23">
                  <c:v>12.2</c:v>
                </c:pt>
                <c:pt idx="24">
                  <c:v>9.9</c:v>
                </c:pt>
              </c:numCache>
            </c:numRef>
          </c:yVal>
          <c:smooth val="0"/>
        </c:ser>
        <c:dLbls>
          <c:showLegendKey val="0"/>
          <c:showVal val="0"/>
          <c:showCatName val="0"/>
          <c:showSerName val="0"/>
          <c:showPercent val="0"/>
          <c:showBubbleSize val="0"/>
        </c:dLbls>
        <c:axId val="123495552"/>
        <c:axId val="123494976"/>
      </c:scatterChart>
      <c:valAx>
        <c:axId val="123495552"/>
        <c:scaling>
          <c:orientation val="minMax"/>
          <c:max val="0.8"/>
          <c:min val="-0.30000000000000004"/>
        </c:scaling>
        <c:delete val="0"/>
        <c:axPos val="b"/>
        <c:title>
          <c:tx>
            <c:rich>
              <a:bodyPr/>
              <a:lstStyle/>
              <a:p>
                <a:pPr>
                  <a:defRPr/>
                </a:pPr>
                <a:r>
                  <a:rPr lang="en-US"/>
                  <a:t>Elevation above MTL (m)</a:t>
                </a:r>
              </a:p>
            </c:rich>
          </c:tx>
          <c:layout/>
          <c:overlay val="0"/>
        </c:title>
        <c:numFmt formatCode="General" sourceLinked="1"/>
        <c:majorTickMark val="out"/>
        <c:minorTickMark val="none"/>
        <c:tickLblPos val="nextTo"/>
        <c:crossAx val="123494976"/>
        <c:crosses val="autoZero"/>
        <c:crossBetween val="midCat"/>
        <c:majorUnit val="0.2"/>
        <c:minorUnit val="0.1"/>
      </c:valAx>
      <c:valAx>
        <c:axId val="123494976"/>
        <c:scaling>
          <c:orientation val="minMax"/>
        </c:scaling>
        <c:delete val="0"/>
        <c:axPos val="l"/>
        <c:majorGridlines/>
        <c:title>
          <c:tx>
            <c:rich>
              <a:bodyPr rot="-5400000" vert="horz"/>
              <a:lstStyle/>
              <a:p>
                <a:pPr>
                  <a:defRPr/>
                </a:pPr>
                <a:r>
                  <a:rPr lang="en-US"/>
                  <a:t>Accretion Rate (mm/yr)</a:t>
                </a:r>
              </a:p>
            </c:rich>
          </c:tx>
          <c:layout/>
          <c:overlay val="0"/>
        </c:title>
        <c:numFmt formatCode="0.00" sourceLinked="1"/>
        <c:majorTickMark val="out"/>
        <c:minorTickMark val="none"/>
        <c:tickLblPos val="nextTo"/>
        <c:crossAx val="123495552"/>
        <c:crossesAt val="-0.4"/>
        <c:crossBetween val="midCat"/>
      </c:valAx>
      <c:spPr>
        <a:solidFill>
          <a:srgbClr val="FFFFFF"/>
        </a:solidFill>
      </c:spPr>
    </c:plotArea>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5DFC-EE89-4A91-AB75-6E5D385D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Amy Polaczyk</cp:lastModifiedBy>
  <cp:revision>2</cp:revision>
  <dcterms:created xsi:type="dcterms:W3CDTF">2014-06-02T19:22:00Z</dcterms:created>
  <dcterms:modified xsi:type="dcterms:W3CDTF">2014-06-02T19:22:00Z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id="Uo6uRmU0"/&gt;&lt;style id="http://www.zotero.org/styles/american-society-of-civil-engineers" hasBibliography="1" bibliographyStyleHasBeenSet="1"/&gt;&lt;prefs&gt;&lt;pref name="fieldType" value="Field"/&gt;&lt;pref nam</vt:lpwstr>
  </property>
  <property fmtid="{D5CDD505-2E9C-101B-9397-08002B2CF9AE}" pid="3" name="ZOTERO_PREF_2">
    <vt:lpwstr>e="storeReferences" value="true"/&gt;&lt;pref name="automaticJournalAbbreviations" value="false"/&gt;&lt;pref name="noteType" value="0"/&gt;&lt;/prefs&gt;&lt;/data&gt;</vt:lpwstr>
  </property>
</Properties>
</file>